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B5" w:rsidRDefault="004E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цифровое ТВ не работает…</w:t>
      </w:r>
    </w:p>
    <w:p w:rsidR="008B6E6F" w:rsidRDefault="004E35B5">
      <w:pPr>
        <w:rPr>
          <w:rFonts w:ascii="Times New Roman" w:hAnsi="Times New Roman" w:cs="Times New Roman"/>
          <w:sz w:val="28"/>
          <w:szCs w:val="28"/>
        </w:rPr>
      </w:pPr>
      <w:r w:rsidRPr="00F55438">
        <w:rPr>
          <w:rFonts w:ascii="Times New Roman" w:hAnsi="Times New Roman" w:cs="Times New Roman"/>
          <w:sz w:val="28"/>
          <w:szCs w:val="28"/>
        </w:rPr>
        <w:t>По данным РТРС, в муниципальном образовании город Горячий Ключ в 15 населенных пунктах в силу особенностей рельефа местности с 3 июня 2019 года цифровой сигнал не будет приниматься. Вне зоны охвата окажутся 2023 домовладения</w:t>
      </w:r>
      <w:r w:rsidR="00865125">
        <w:rPr>
          <w:rFonts w:ascii="Times New Roman" w:hAnsi="Times New Roman" w:cs="Times New Roman"/>
          <w:sz w:val="28"/>
          <w:szCs w:val="28"/>
        </w:rPr>
        <w:t xml:space="preserve">. Для того чтобы смотреть общедоступные 20 бесплатных каналов, жителям данных населенных пунктов необходимо пробрести пакеты спутникового телевидения. </w:t>
      </w:r>
    </w:p>
    <w:p w:rsidR="008B6E6F" w:rsidRDefault="008B6E6F">
      <w:r>
        <w:rPr>
          <w:rFonts w:ascii="Times New Roman" w:hAnsi="Times New Roman" w:cs="Times New Roman"/>
          <w:sz w:val="28"/>
          <w:szCs w:val="28"/>
        </w:rPr>
        <w:t xml:space="preserve">Населенные пункты, которые окажутся вне зоны охвата цифрового ТВ: </w:t>
      </w:r>
    </w:p>
    <w:tbl>
      <w:tblPr>
        <w:tblW w:w="85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9"/>
        <w:gridCol w:w="4259"/>
      </w:tblGrid>
      <w:tr w:rsidR="008B6E6F" w:rsidRPr="008B6E6F" w:rsidTr="00063B6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E6F">
              <w:rPr>
                <w:rFonts w:ascii="Times New Roman" w:hAnsi="Times New Roman" w:cs="Times New Roman"/>
                <w:b/>
              </w:rPr>
              <w:t>Число дворов</w:t>
            </w:r>
          </w:p>
        </w:tc>
      </w:tr>
      <w:tr w:rsidR="008B6E6F" w:rsidRPr="008B6E6F" w:rsidTr="00063B6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6E6F">
              <w:rPr>
                <w:rFonts w:ascii="Times New Roman" w:hAnsi="Times New Roman" w:cs="Times New Roman"/>
                <w:sz w:val="24"/>
                <w:szCs w:val="24"/>
              </w:rPr>
              <w:t>Кура-Транспортный</w:t>
            </w:r>
            <w:proofErr w:type="spellEnd"/>
            <w:proofErr w:type="gramEnd"/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24</w:t>
            </w:r>
          </w:p>
        </w:tc>
      </w:tr>
      <w:tr w:rsidR="008B6E6F" w:rsidRPr="008B6E6F" w:rsidTr="00063B6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sz w:val="24"/>
                <w:szCs w:val="24"/>
              </w:rPr>
              <w:t>Кура-Промысел</w:t>
            </w:r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0</w:t>
            </w:r>
          </w:p>
        </w:tc>
      </w:tr>
      <w:tr w:rsidR="008B6E6F" w:rsidRPr="008B6E6F" w:rsidTr="00063B6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sz w:val="24"/>
                <w:szCs w:val="24"/>
              </w:rPr>
              <w:t>Кутаис</w:t>
            </w:r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532</w:t>
            </w:r>
          </w:p>
        </w:tc>
      </w:tr>
      <w:tr w:rsidR="008B6E6F" w:rsidRPr="008B6E6F" w:rsidTr="00063B6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146</w:t>
            </w:r>
          </w:p>
        </w:tc>
      </w:tr>
      <w:tr w:rsidR="008B6E6F" w:rsidRPr="008B6E6F" w:rsidTr="00063B6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sz w:val="24"/>
                <w:szCs w:val="24"/>
              </w:rPr>
              <w:t>Промысловый</w:t>
            </w:r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35</w:t>
            </w:r>
          </w:p>
        </w:tc>
      </w:tr>
      <w:tr w:rsidR="008B6E6F" w:rsidRPr="008B6E6F" w:rsidTr="00063B6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</w:t>
            </w:r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81</w:t>
            </w:r>
          </w:p>
        </w:tc>
      </w:tr>
      <w:tr w:rsidR="008B6E6F" w:rsidRPr="008B6E6F" w:rsidTr="00063B6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sz w:val="24"/>
                <w:szCs w:val="24"/>
              </w:rPr>
              <w:t>Широкая Балка</w:t>
            </w:r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218</w:t>
            </w:r>
          </w:p>
        </w:tc>
      </w:tr>
      <w:tr w:rsidR="008B6E6F" w:rsidRPr="008B6E6F" w:rsidTr="00063B6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sz w:val="24"/>
                <w:szCs w:val="24"/>
              </w:rPr>
              <w:t xml:space="preserve">Веселый </w:t>
            </w:r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55</w:t>
            </w:r>
          </w:p>
        </w:tc>
      </w:tr>
      <w:tr w:rsidR="008B6E6F" w:rsidRPr="008B6E6F" w:rsidTr="00063B6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sz w:val="24"/>
                <w:szCs w:val="24"/>
              </w:rPr>
              <w:t>Домики</w:t>
            </w:r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9</w:t>
            </w:r>
          </w:p>
        </w:tc>
      </w:tr>
      <w:tr w:rsidR="008B6E6F" w:rsidRPr="008B6E6F" w:rsidTr="00063B6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sz w:val="24"/>
                <w:szCs w:val="24"/>
              </w:rPr>
              <w:t>Кура-Цеце</w:t>
            </w:r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87</w:t>
            </w:r>
          </w:p>
        </w:tc>
      </w:tr>
      <w:tr w:rsidR="008B6E6F" w:rsidRPr="008B6E6F" w:rsidTr="00A34379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sz w:val="24"/>
                <w:szCs w:val="24"/>
              </w:rPr>
              <w:t>Безымянное</w:t>
            </w:r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400</w:t>
            </w:r>
          </w:p>
        </w:tc>
      </w:tr>
      <w:tr w:rsidR="008B6E6F" w:rsidRPr="008B6E6F" w:rsidTr="00063B6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280</w:t>
            </w:r>
          </w:p>
        </w:tc>
      </w:tr>
      <w:tr w:rsidR="008B6E6F" w:rsidRPr="008B6E6F" w:rsidTr="00063B6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sz w:val="24"/>
                <w:szCs w:val="24"/>
              </w:rPr>
              <w:t>Хребтовое</w:t>
            </w:r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8</w:t>
            </w:r>
          </w:p>
        </w:tc>
      </w:tr>
      <w:tr w:rsidR="008B6E6F" w:rsidRPr="008B6E6F" w:rsidTr="001F1BB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sz w:val="24"/>
                <w:szCs w:val="24"/>
              </w:rPr>
              <w:t>Кутаисская</w:t>
            </w:r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123</w:t>
            </w:r>
          </w:p>
        </w:tc>
      </w:tr>
      <w:tr w:rsidR="008B6E6F" w:rsidRPr="008B6E6F" w:rsidTr="00F62DFA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E6F">
              <w:rPr>
                <w:rFonts w:ascii="Times New Roman" w:hAnsi="Times New Roman" w:cs="Times New Roman"/>
                <w:sz w:val="24"/>
                <w:szCs w:val="24"/>
              </w:rPr>
              <w:t>Папоротный</w:t>
            </w:r>
            <w:proofErr w:type="spellEnd"/>
          </w:p>
        </w:tc>
        <w:tc>
          <w:tcPr>
            <w:tcW w:w="4259" w:type="dxa"/>
            <w:vAlign w:val="center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E6F">
              <w:rPr>
                <w:rFonts w:ascii="Times New Roman" w:hAnsi="Times New Roman" w:cs="Times New Roman"/>
              </w:rPr>
              <w:t>25</w:t>
            </w:r>
          </w:p>
        </w:tc>
      </w:tr>
      <w:tr w:rsidR="008B6E6F" w:rsidRPr="008B6E6F" w:rsidTr="001F1BBB">
        <w:tc>
          <w:tcPr>
            <w:tcW w:w="4259" w:type="dxa"/>
          </w:tcPr>
          <w:p w:rsidR="008B6E6F" w:rsidRPr="008B6E6F" w:rsidRDefault="008B6E6F" w:rsidP="00345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9" w:type="dxa"/>
          </w:tcPr>
          <w:p w:rsidR="008B6E6F" w:rsidRPr="008B6E6F" w:rsidRDefault="008B6E6F" w:rsidP="00345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6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</w:tbl>
    <w:p w:rsidR="00F15BC1" w:rsidRDefault="004C6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Получить консультацию по подключению цифрового ТВ, задать интересующие вопросы можно специалистам РТРС Краснодар, контактные данные:  </w:t>
      </w:r>
      <w:hyperlink r:id="rId4" w:history="1">
        <w:r w:rsidRPr="00980AFB">
          <w:rPr>
            <w:rStyle w:val="a3"/>
            <w:rFonts w:ascii="Times New Roman" w:hAnsi="Times New Roman" w:cs="Times New Roman"/>
          </w:rPr>
          <w:t>http://krasnodar.rtrs.ru/tv/ckp/</w:t>
        </w:r>
      </w:hyperlink>
    </w:p>
    <w:p w:rsidR="004C6FC9" w:rsidRDefault="004C6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Памятки по подключению цифрового ТВ: </w:t>
      </w:r>
      <w:hyperlink r:id="rId5" w:history="1">
        <w:r w:rsidRPr="00980AFB">
          <w:rPr>
            <w:rStyle w:val="a3"/>
            <w:rFonts w:ascii="Times New Roman" w:hAnsi="Times New Roman" w:cs="Times New Roman"/>
          </w:rPr>
          <w:t>http://krasnodar.rtrs.ru/tv/video-guide/</w:t>
        </w:r>
      </w:hyperlink>
    </w:p>
    <w:p w:rsidR="004C6FC9" w:rsidRPr="008B6E6F" w:rsidRDefault="004C6FC9">
      <w:pPr>
        <w:rPr>
          <w:rFonts w:ascii="Times New Roman" w:hAnsi="Times New Roman" w:cs="Times New Roman"/>
        </w:rPr>
      </w:pPr>
    </w:p>
    <w:sectPr w:rsidR="004C6FC9" w:rsidRPr="008B6E6F" w:rsidSect="00F1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5B5"/>
    <w:rsid w:val="004C6FC9"/>
    <w:rsid w:val="004E35B5"/>
    <w:rsid w:val="00865125"/>
    <w:rsid w:val="008B6E6F"/>
    <w:rsid w:val="00F1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dar.rtrs.ru/tv/video-guide/" TargetMode="External"/><Relationship Id="rId4" Type="http://schemas.openxmlformats.org/officeDocument/2006/relationships/hyperlink" Target="http://krasnodar.rtrs.ru/tv/ck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manasyan_e</dc:creator>
  <cp:keywords/>
  <dc:description/>
  <cp:lastModifiedBy>manasyan_e</cp:lastModifiedBy>
  <cp:revision>5</cp:revision>
  <dcterms:created xsi:type="dcterms:W3CDTF">2019-02-06T13:41:00Z</dcterms:created>
  <dcterms:modified xsi:type="dcterms:W3CDTF">2019-02-06T13:52:00Z</dcterms:modified>
</cp:coreProperties>
</file>