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18/125-5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№10-34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№17/112-5 были досрочно прекращены полномочия члена участковой избирательной комиссии избирательного участка №10-34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Максимовой Елены Дмитриевны, назначенной в состав участковой избирательной комиссии назначенной в состав участковой избирательной комиссии организацией город Горячий Ключ Краснодарской  краевой общественной организацией ветеранов (пенсионеров, инвалидов) войны, труда, Вооруженный сил и правоохранительных органов в Краснодарском крае,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№10-34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Телегин Андрей Валерьевич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Телегина А.В.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Телегину А.В. 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№10-34.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