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color w:val="000000"/>
          <w:sz w:val="32"/>
        </w:rPr>
      </w:pPr>
      <w:r>
        <w:rPr>
          <w:b/>
          <w:color w:val="000000"/>
          <w:sz w:val="32"/>
        </w:rPr>
        <w:t>Территориальная избирательная комиссия</w:t>
      </w:r>
    </w:p>
    <w:p>
      <w:pPr>
        <w:pStyle w:val="Normal"/>
        <w:jc w:val="center"/>
        <w:rPr>
          <w:b/>
          <w:color w:val="000000"/>
          <w:sz w:val="32"/>
        </w:rPr>
      </w:pPr>
      <w:r>
        <w:rPr>
          <w:b/>
          <w:color w:val="000000"/>
          <w:sz w:val="32"/>
        </w:rPr>
        <w:t>Горячеключевская</w:t>
      </w:r>
    </w:p>
    <w:tbl>
      <w:tblPr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108"/>
        <w:gridCol w:w="4312"/>
        <w:gridCol w:w="4682"/>
        <w:gridCol w:w="469"/>
      </w:tblGrid>
      <w:tr>
        <w:trPr>
          <w:trHeight w:val="100" w:hRule="atLeast"/>
        </w:trPr>
        <w:tc>
          <w:tcPr>
            <w:tcW w:w="108" w:type="dxa"/>
            <w:tcBorders/>
          </w:tcPr>
          <w:p>
            <w:pPr>
              <w:pStyle w:val="Normal"/>
              <w:jc w:val="center"/>
              <w:rPr>
                <w:color w:val="000000"/>
                <w:sz w:val="10"/>
                <w:lang w:val="en-US"/>
              </w:rPr>
            </w:pPr>
            <w:r>
              <w:rPr>
                <w:color w:val="000000"/>
                <w:sz w:val="10"/>
                <w:lang w:val="en-US"/>
              </w:rPr>
            </w:r>
          </w:p>
        </w:tc>
        <w:tc>
          <w:tcPr>
            <w:tcW w:w="8994" w:type="dxa"/>
            <w:gridSpan w:val="2"/>
            <w:tcBorders>
              <w:top w:val="thinThickLargeGap" w:sz="24" w:space="0" w:color="000000"/>
            </w:tcBorders>
          </w:tcPr>
          <w:p>
            <w:pPr>
              <w:pStyle w:val="Normal"/>
              <w:jc w:val="center"/>
              <w:rPr>
                <w:color w:val="000000"/>
                <w:sz w:val="10"/>
                <w:lang w:val="en-US"/>
              </w:rPr>
            </w:pPr>
            <w:r>
              <w:rPr>
                <w:color w:val="000000"/>
                <w:sz w:val="10"/>
                <w:lang w:val="en-US"/>
              </w:rPr>
            </w:r>
          </w:p>
          <w:p>
            <w:pPr>
              <w:pStyle w:val="Normal"/>
              <w:jc w:val="center"/>
              <w:rPr>
                <w:color w:val="000000"/>
                <w:sz w:val="10"/>
                <w:lang w:val="en-US"/>
              </w:rPr>
            </w:pPr>
            <w:r>
              <w:rPr>
                <w:color w:val="000000"/>
                <w:sz w:val="10"/>
                <w:lang w:val="en-US"/>
              </w:rPr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ind w:hanging="0" w:left="0"/>
              <w:jc w:val="center"/>
              <w:outlineLvl w:val="0"/>
              <w:rPr>
                <w:b/>
                <w:bCs/>
                <w:color w:val="000000"/>
                <w:sz w:val="32"/>
              </w:rPr>
            </w:pPr>
            <w:r>
              <w:rPr>
                <w:b/>
                <w:bCs/>
                <w:color w:val="000000"/>
                <w:sz w:val="32"/>
              </w:rPr>
              <w:t>РЕШЕНИЕ</w:t>
            </w:r>
          </w:p>
          <w:p>
            <w:pPr>
              <w:pStyle w:val="Normal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469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4420" w:type="dxa"/>
            <w:gridSpan w:val="2"/>
            <w:tcBorders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«6» сентября 2026 года</w:t>
            </w:r>
          </w:p>
        </w:tc>
        <w:tc>
          <w:tcPr>
            <w:tcW w:w="5151" w:type="dxa"/>
            <w:gridSpan w:val="2"/>
            <w:tcBorders/>
          </w:tcPr>
          <w:p>
            <w:pPr>
              <w:pStyle w:val="Normal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№ </w:t>
            </w:r>
            <w:r>
              <w:rPr>
                <w:color w:val="000000"/>
              </w:rPr>
              <w:t>19/111-6</w:t>
            </w:r>
          </w:p>
        </w:tc>
      </w:tr>
    </w:tbl>
    <w:p>
      <w:pPr>
        <w:pStyle w:val="Normal"/>
        <w:spacing w:lineRule="auto" w:line="360"/>
        <w:jc w:val="center"/>
        <w:rPr>
          <w:b/>
          <w:bCs/>
          <w:szCs w:val="28"/>
        </w:rPr>
      </w:pPr>
      <w:r>
        <w:rPr>
          <w:b/>
          <w:bCs/>
          <w:szCs w:val="28"/>
        </w:rPr>
      </w:r>
    </w:p>
    <w:p>
      <w:pPr>
        <w:pStyle w:val="Normal"/>
        <w:widowControl w:val="false"/>
        <w:ind w:firstLine="709"/>
        <w:jc w:val="center"/>
        <w:rPr>
          <w:rFonts w:eastAsia="Times New Roman"/>
          <w:b/>
          <w:color w:val="000000"/>
          <w:spacing w:val="3"/>
          <w:szCs w:val="28"/>
          <w:lang w:eastAsia="ru-RU"/>
        </w:rPr>
      </w:pPr>
      <w:r>
        <w:rPr>
          <w:rFonts w:eastAsia="Times New Roman"/>
          <w:b/>
          <w:color w:val="000000"/>
          <w:spacing w:val="3"/>
          <w:szCs w:val="28"/>
          <w:lang w:eastAsia="ru-RU"/>
        </w:rPr>
        <w:t>О распределении избирательных бюллетеней для голосования на выборах депутатов Государственной Думы Федерального Собрания Российской Федерации девятого созыва по федеральному и одномандатному избирательным округам по участковым избирательным комиссиям</w:t>
      </w:r>
    </w:p>
    <w:p>
      <w:pPr>
        <w:pStyle w:val="Normal"/>
        <w:widowControl w:val="false"/>
        <w:ind w:firstLine="709"/>
        <w:jc w:val="center"/>
        <w:rPr>
          <w:rFonts w:eastAsia="Times New Roman"/>
          <w:b/>
          <w:color w:val="000000"/>
          <w:spacing w:val="3"/>
          <w:szCs w:val="28"/>
          <w:lang w:eastAsia="ru-RU"/>
        </w:rPr>
      </w:pPr>
      <w:r>
        <w:rPr>
          <w:rFonts w:eastAsia="Times New Roman"/>
          <w:b/>
          <w:color w:val="000000"/>
          <w:spacing w:val="3"/>
          <w:szCs w:val="28"/>
          <w:lang w:eastAsia="ru-RU"/>
        </w:rPr>
      </w:r>
    </w:p>
    <w:p>
      <w:pPr>
        <w:pStyle w:val="Normal"/>
        <w:spacing w:lineRule="auto" w:line="360"/>
        <w:ind w:firstLine="708"/>
        <w:rPr/>
      </w:pPr>
      <w:r>
        <w:rPr>
          <w:rFonts w:eastAsia="Times New Roman"/>
          <w:sz w:val="28"/>
          <w:szCs w:val="28"/>
          <w:lang w:eastAsia="ru-RU"/>
        </w:rPr>
        <w:t xml:space="preserve">В соответствии со статьей 63 Федерального закона от 12.06.2002 №67-ФЗ «Об основных гарантиях избирательных прав и права на участие в референдуме граждан Российской Федерации, </w:t>
      </w:r>
      <w:r>
        <w:rPr>
          <w:rFonts w:eastAsia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в соответствии с частью 14 статьи 79 Федерального закона от 22.02.2014 № 20-ФЗ «О выборах депутатов Государственной Думы Федерального Собрания Российской Федерации»</w:t>
      </w:r>
      <w:r>
        <w:rPr>
          <w:rFonts w:eastAsia="Times New Roman"/>
          <w:szCs w:val="28"/>
          <w:lang w:eastAsia="ru-RU"/>
        </w:rPr>
        <w:t xml:space="preserve"> территориальная избирательная комиссия Горячеключевская РЕШИЛА: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1197" w:leader="none"/>
        </w:tabs>
        <w:spacing w:lineRule="auto" w:line="360" w:before="0" w:after="200"/>
        <w:ind w:firstLine="709" w:left="0"/>
        <w:contextualSpacing/>
        <w:rPr/>
      </w:pPr>
      <w:r>
        <w:rPr>
          <w:rFonts w:eastAsia="Times New Roman"/>
          <w:color w:val="000000"/>
          <w:spacing w:val="3"/>
          <w:szCs w:val="28"/>
          <w:lang w:eastAsia="ru-RU"/>
        </w:rPr>
        <w:t xml:space="preserve">Распределить избирательные бюллетени для голосования на выборах </w:t>
      </w:r>
      <w:r>
        <w:rPr>
          <w:rFonts w:eastAsia="Times New Roman"/>
          <w:b w:val="false"/>
          <w:bCs w:val="false"/>
          <w:color w:val="000000"/>
          <w:spacing w:val="3"/>
          <w:szCs w:val="28"/>
          <w:lang w:eastAsia="ru-RU"/>
        </w:rPr>
        <w:t>депутатов Государственной Думы Федерального Собрания Российской Федерации девятого созыва по федеральному и одномандатному избирательным округам</w:t>
      </w:r>
      <w:r>
        <w:rPr>
          <w:rFonts w:eastAsia="Times New Roman"/>
          <w:color w:val="000000"/>
          <w:spacing w:val="3"/>
          <w:szCs w:val="28"/>
          <w:lang w:eastAsia="ru-RU"/>
        </w:rPr>
        <w:t xml:space="preserve"> в количестве </w:t>
      </w:r>
      <w:r>
        <w:rPr>
          <w:rFonts w:eastAsia="Times New Roman"/>
          <w:color w:val="000000"/>
          <w:spacing w:val="3"/>
          <w:szCs w:val="28"/>
          <w:lang w:eastAsia="ru-RU"/>
        </w:rPr>
        <w:t>46080</w:t>
      </w:r>
      <w:r>
        <w:rPr>
          <w:rFonts w:eastAsia="Times New Roman"/>
          <w:color w:val="000000"/>
          <w:spacing w:val="3"/>
          <w:szCs w:val="28"/>
          <w:lang w:eastAsia="ru-RU"/>
        </w:rPr>
        <w:t xml:space="preserve"> штук по участковым избирательным комиссиям муниципального образования муниципальный округ город Горячий Ключ согласно приложению № 1 к настоящему решению.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1197" w:leader="none"/>
        </w:tabs>
        <w:spacing w:lineRule="auto" w:line="360" w:before="0" w:after="200"/>
        <w:ind w:firstLine="709" w:left="0"/>
        <w:contextualSpacing/>
        <w:rPr/>
      </w:pPr>
      <w:r>
        <w:rPr>
          <w:rFonts w:eastAsia="Times New Roman"/>
          <w:color w:val="000000"/>
          <w:spacing w:val="3"/>
          <w:szCs w:val="28"/>
          <w:lang w:eastAsia="ru-RU"/>
        </w:rPr>
        <w:t>Распределить в резерв территориальной избирательной комиссии                   Горячеключевская избирательные бюллет</w:t>
      </w:r>
      <w:bookmarkStart w:id="0" w:name="_GoBack"/>
      <w:bookmarkEnd w:id="0"/>
      <w:r>
        <w:rPr>
          <w:rFonts w:eastAsia="Times New Roman"/>
          <w:color w:val="000000"/>
          <w:spacing w:val="3"/>
          <w:szCs w:val="28"/>
          <w:lang w:eastAsia="ru-RU"/>
        </w:rPr>
        <w:t xml:space="preserve">ени для голосования на выборах </w:t>
      </w:r>
      <w:r>
        <w:rPr>
          <w:rFonts w:eastAsia="Times New Roman"/>
          <w:b w:val="false"/>
          <w:bCs w:val="false"/>
          <w:color w:val="000000"/>
          <w:spacing w:val="3"/>
          <w:szCs w:val="28"/>
          <w:lang w:eastAsia="ru-RU"/>
        </w:rPr>
        <w:t xml:space="preserve">депутатов Государственной Думы Федерального Собрания Российской Федерации девятого созыва по федеральному и одномандатному избирательным округам </w:t>
      </w:r>
      <w:r>
        <w:rPr>
          <w:rFonts w:eastAsia="Times New Roman"/>
          <w:color w:val="000000"/>
          <w:spacing w:val="3"/>
          <w:szCs w:val="28"/>
          <w:lang w:eastAsia="ru-RU"/>
        </w:rPr>
        <w:t xml:space="preserve">в количестве </w:t>
      </w:r>
      <w:r>
        <w:rPr>
          <w:rFonts w:eastAsia="Times New Roman"/>
          <w:color w:val="000000"/>
          <w:spacing w:val="3"/>
          <w:szCs w:val="28"/>
          <w:lang w:eastAsia="ru-RU"/>
        </w:rPr>
        <w:t>7920</w:t>
      </w:r>
      <w:r>
        <w:rPr>
          <w:rFonts w:eastAsia="Times New Roman"/>
          <w:color w:val="000000"/>
          <w:spacing w:val="3"/>
          <w:szCs w:val="28"/>
          <w:lang w:eastAsia="ru-RU"/>
        </w:rPr>
        <w:t xml:space="preserve"> штук согласно приложению № 2 к настоящему решению.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1197" w:leader="none"/>
        </w:tabs>
        <w:spacing w:lineRule="auto" w:line="360" w:before="0" w:after="200"/>
        <w:ind w:firstLine="709" w:left="0"/>
        <w:contextualSpacing/>
        <w:jc w:val="left"/>
        <w:rPr/>
      </w:pPr>
      <w:r>
        <w:rPr>
          <w:szCs w:val="28"/>
        </w:rPr>
        <w:t>Направить копию настоящего решения в избирательную комиссию Краснодарского края.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1197" w:leader="none"/>
        </w:tabs>
        <w:spacing w:lineRule="auto" w:line="360" w:before="0" w:after="200"/>
        <w:ind w:firstLine="709" w:left="0"/>
        <w:contextualSpacing/>
        <w:rPr/>
      </w:pPr>
      <w:r>
        <w:rPr>
          <w:rFonts w:eastAsia="Times New Roman"/>
          <w:color w:val="000000"/>
          <w:spacing w:val="3"/>
          <w:szCs w:val="28"/>
          <w:lang w:eastAsia="ru-RU"/>
        </w:rPr>
        <w:t>Разместить на странице территориальной избирательной комиссии Горячеключевская официального сайта администрации муниципального образования муниципальный округ город Горячий Ключ Краснодарского края в информационно-телекоммуникационной сети «Интернет» (без приложения).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1197" w:leader="none"/>
        </w:tabs>
        <w:spacing w:lineRule="auto" w:line="360" w:before="0" w:after="200"/>
        <w:ind w:firstLine="709" w:left="0"/>
        <w:contextualSpacing/>
        <w:rPr/>
      </w:pPr>
      <w:r>
        <w:rPr>
          <w:rFonts w:eastAsia="Times New Roman"/>
          <w:color w:val="000000"/>
          <w:spacing w:val="3"/>
          <w:szCs w:val="28"/>
          <w:lang w:eastAsia="ru-RU"/>
        </w:rPr>
        <w:t>Контроль за выполнением настоящего решения возложить на председателя территориальной избирательной комиссии Горячеключевская.</w:t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1197" w:leader="none"/>
        </w:tabs>
        <w:spacing w:lineRule="auto" w:line="360" w:before="0" w:after="200"/>
        <w:ind w:hanging="0" w:left="0"/>
        <w:contextualSpacing/>
        <w:rPr>
          <w:rFonts w:eastAsia="Times New Roman"/>
          <w:color w:val="000000"/>
          <w:spacing w:val="3"/>
          <w:szCs w:val="28"/>
          <w:lang w:eastAsia="ru-RU"/>
        </w:rPr>
      </w:pPr>
      <w:r>
        <w:rPr>
          <w:rFonts w:eastAsia="Times New Roman"/>
          <w:color w:val="000000"/>
          <w:spacing w:val="3"/>
          <w:szCs w:val="28"/>
          <w:lang w:eastAsia="ru-RU"/>
        </w:rPr>
      </w:r>
    </w:p>
    <w:p>
      <w:pPr>
        <w:pStyle w:val="Footer"/>
        <w:tabs>
          <w:tab w:val="center" w:pos="4153" w:leader="none"/>
          <w:tab w:val="left" w:pos="7088" w:leader="none"/>
          <w:tab w:val="right" w:pos="8306" w:leader="none"/>
        </w:tabs>
        <w:spacing w:lineRule="auto" w:line="360"/>
        <w:ind w:hanging="0" w:left="0" w:right="0"/>
        <w:rPr/>
      </w:pPr>
      <w:r>
        <w:rPr/>
        <w:t>Председатель</w:t>
      </w:r>
    </w:p>
    <w:p>
      <w:pPr>
        <w:pStyle w:val="Footer"/>
        <w:tabs>
          <w:tab w:val="center" w:pos="4153" w:leader="none"/>
          <w:tab w:val="left" w:pos="7088" w:leader="none"/>
          <w:tab w:val="right" w:pos="8306" w:leader="none"/>
        </w:tabs>
        <w:spacing w:lineRule="auto" w:line="360"/>
        <w:ind w:hanging="0" w:left="0" w:right="0"/>
        <w:rPr/>
      </w:pPr>
      <w:r>
        <w:rPr/>
        <w:t>территориальной избирательной</w:t>
      </w:r>
    </w:p>
    <w:p>
      <w:pPr>
        <w:pStyle w:val="Footer"/>
        <w:tabs>
          <w:tab w:val="center" w:pos="4153" w:leader="none"/>
          <w:tab w:val="left" w:pos="7088" w:leader="none"/>
          <w:tab w:val="right" w:pos="8306" w:leader="none"/>
        </w:tabs>
        <w:spacing w:lineRule="auto" w:line="360"/>
        <w:ind w:hanging="0" w:left="0" w:right="0"/>
        <w:rPr/>
      </w:pPr>
      <w:r>
        <w:rPr/>
        <w:t>комиссии Горячеключевская                                                            М.Б. Репещук</w:t>
      </w:r>
    </w:p>
    <w:p>
      <w:pPr>
        <w:pStyle w:val="Footer"/>
        <w:tabs>
          <w:tab w:val="center" w:pos="4153" w:leader="none"/>
          <w:tab w:val="left" w:pos="7088" w:leader="none"/>
          <w:tab w:val="right" w:pos="8306" w:leader="none"/>
        </w:tabs>
        <w:spacing w:lineRule="auto" w:line="360"/>
        <w:ind w:hanging="0" w:left="0" w:right="0"/>
        <w:rPr/>
      </w:pPr>
      <w:r>
        <w:rPr/>
      </w:r>
    </w:p>
    <w:p>
      <w:pPr>
        <w:pStyle w:val="Footer"/>
        <w:tabs>
          <w:tab w:val="center" w:pos="4153" w:leader="none"/>
          <w:tab w:val="left" w:pos="7088" w:leader="none"/>
          <w:tab w:val="right" w:pos="8306" w:leader="none"/>
        </w:tabs>
        <w:spacing w:lineRule="auto" w:line="360"/>
        <w:ind w:hanging="0" w:left="0" w:right="0"/>
        <w:rPr/>
      </w:pPr>
      <w:r>
        <w:rPr/>
        <w:t>Секретарь</w:t>
      </w:r>
    </w:p>
    <w:p>
      <w:pPr>
        <w:pStyle w:val="Footer"/>
        <w:tabs>
          <w:tab w:val="center" w:pos="4153" w:leader="none"/>
          <w:tab w:val="left" w:pos="7088" w:leader="none"/>
          <w:tab w:val="right" w:pos="8306" w:leader="none"/>
        </w:tabs>
        <w:spacing w:lineRule="auto" w:line="360"/>
        <w:ind w:hanging="0" w:left="0" w:right="0"/>
        <w:rPr/>
      </w:pPr>
      <w:r>
        <w:rPr/>
        <w:t>территориальной избирательной</w:t>
      </w:r>
    </w:p>
    <w:p>
      <w:pPr>
        <w:pStyle w:val="Footer"/>
        <w:tabs>
          <w:tab w:val="center" w:pos="4153" w:leader="none"/>
          <w:tab w:val="left" w:pos="7088" w:leader="none"/>
          <w:tab w:val="right" w:pos="8306" w:leader="none"/>
        </w:tabs>
        <w:spacing w:lineRule="auto" w:line="360"/>
        <w:ind w:hanging="0" w:left="0" w:right="0"/>
        <w:rPr/>
      </w:pPr>
      <w:r>
        <w:rPr>
          <w:rFonts w:eastAsia="Times New Roman"/>
          <w:szCs w:val="28"/>
          <w:lang w:eastAsia="ru-RU"/>
        </w:rPr>
        <w:t>комиссии Горячеключевская                                                               Е.М. Белова</w:t>
      </w:r>
    </w:p>
    <w:p>
      <w:pPr>
        <w:pStyle w:val="Normal"/>
        <w:widowControl w:val="false"/>
        <w:tabs>
          <w:tab w:val="clear" w:pos="708"/>
          <w:tab w:val="left" w:pos="1197" w:leader="none"/>
        </w:tabs>
        <w:spacing w:before="0" w:after="0"/>
        <w:ind w:left="709"/>
        <w:contextualSpacing/>
        <w:rPr>
          <w:rFonts w:eastAsia="Times New Roman"/>
          <w:color w:val="000000"/>
          <w:spacing w:val="3"/>
          <w:sz w:val="26"/>
          <w:szCs w:val="26"/>
          <w:lang w:eastAsia="ru-RU"/>
        </w:rPr>
      </w:pPr>
      <w:r>
        <w:rPr>
          <w:rFonts w:eastAsia="Times New Roman"/>
          <w:color w:val="000000"/>
          <w:spacing w:val="3"/>
          <w:sz w:val="26"/>
          <w:szCs w:val="26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1197" w:leader="none"/>
        </w:tabs>
        <w:spacing w:before="0" w:after="0"/>
        <w:ind w:left="709"/>
        <w:contextualSpacing/>
        <w:rPr>
          <w:rFonts w:eastAsia="Times New Roman"/>
          <w:color w:val="000000"/>
          <w:spacing w:val="3"/>
          <w:sz w:val="26"/>
          <w:szCs w:val="26"/>
          <w:lang w:eastAsia="ru-RU"/>
        </w:rPr>
      </w:pPr>
      <w:r>
        <w:rPr>
          <w:rFonts w:eastAsia="Times New Roman"/>
          <w:color w:val="000000"/>
          <w:spacing w:val="3"/>
          <w:sz w:val="26"/>
          <w:szCs w:val="26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1197" w:leader="none"/>
        </w:tabs>
        <w:spacing w:before="0" w:after="0"/>
        <w:ind w:left="709"/>
        <w:contextualSpacing/>
        <w:rPr>
          <w:rFonts w:eastAsia="Times New Roman"/>
          <w:color w:val="000000"/>
          <w:spacing w:val="3"/>
          <w:sz w:val="26"/>
          <w:szCs w:val="26"/>
          <w:lang w:eastAsia="ru-RU"/>
        </w:rPr>
      </w:pPr>
      <w:r>
        <w:rPr>
          <w:rFonts w:eastAsia="Times New Roman"/>
          <w:color w:val="000000"/>
          <w:spacing w:val="3"/>
          <w:sz w:val="26"/>
          <w:szCs w:val="26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1197" w:leader="none"/>
        </w:tabs>
        <w:spacing w:before="0" w:after="0"/>
        <w:ind w:left="709"/>
        <w:contextualSpacing/>
        <w:rPr>
          <w:rFonts w:eastAsia="Times New Roman"/>
          <w:color w:val="000000"/>
          <w:spacing w:val="3"/>
          <w:sz w:val="26"/>
          <w:szCs w:val="26"/>
          <w:lang w:eastAsia="ru-RU"/>
        </w:rPr>
      </w:pPr>
      <w:r>
        <w:rPr>
          <w:rFonts w:eastAsia="Times New Roman"/>
          <w:color w:val="000000"/>
          <w:spacing w:val="3"/>
          <w:sz w:val="26"/>
          <w:szCs w:val="26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1197" w:leader="none"/>
        </w:tabs>
        <w:spacing w:before="0" w:after="0"/>
        <w:ind w:left="709"/>
        <w:contextualSpacing/>
        <w:rPr>
          <w:rFonts w:eastAsia="Times New Roman"/>
          <w:color w:val="000000"/>
          <w:spacing w:val="3"/>
          <w:sz w:val="26"/>
          <w:szCs w:val="26"/>
          <w:lang w:eastAsia="ru-RU"/>
        </w:rPr>
      </w:pPr>
      <w:r>
        <w:rPr>
          <w:rFonts w:eastAsia="Times New Roman"/>
          <w:color w:val="000000"/>
          <w:spacing w:val="3"/>
          <w:sz w:val="26"/>
          <w:szCs w:val="26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1197" w:leader="none"/>
        </w:tabs>
        <w:spacing w:before="0" w:after="0"/>
        <w:ind w:left="709"/>
        <w:contextualSpacing/>
        <w:rPr>
          <w:rFonts w:eastAsia="Times New Roman"/>
          <w:color w:val="000000"/>
          <w:spacing w:val="3"/>
          <w:sz w:val="26"/>
          <w:szCs w:val="26"/>
          <w:lang w:eastAsia="ru-RU"/>
        </w:rPr>
      </w:pPr>
      <w:r>
        <w:rPr>
          <w:rFonts w:eastAsia="Times New Roman"/>
          <w:color w:val="000000"/>
          <w:spacing w:val="3"/>
          <w:sz w:val="26"/>
          <w:szCs w:val="26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1197" w:leader="none"/>
        </w:tabs>
        <w:spacing w:before="0" w:after="0"/>
        <w:ind w:left="709"/>
        <w:contextualSpacing/>
        <w:rPr>
          <w:rFonts w:eastAsia="Times New Roman"/>
          <w:color w:val="000000"/>
          <w:spacing w:val="3"/>
          <w:sz w:val="26"/>
          <w:szCs w:val="26"/>
          <w:lang w:eastAsia="ru-RU"/>
        </w:rPr>
      </w:pPr>
      <w:r>
        <w:rPr>
          <w:rFonts w:eastAsia="Times New Roman"/>
          <w:color w:val="000000"/>
          <w:spacing w:val="3"/>
          <w:sz w:val="26"/>
          <w:szCs w:val="26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1197" w:leader="none"/>
        </w:tabs>
        <w:spacing w:before="0" w:after="0"/>
        <w:ind w:left="709"/>
        <w:contextualSpacing/>
        <w:rPr>
          <w:rFonts w:eastAsia="Times New Roman"/>
          <w:color w:val="000000"/>
          <w:spacing w:val="3"/>
          <w:sz w:val="26"/>
          <w:szCs w:val="26"/>
          <w:lang w:eastAsia="ru-RU"/>
        </w:rPr>
      </w:pPr>
      <w:r>
        <w:rPr>
          <w:rFonts w:eastAsia="Times New Roman"/>
          <w:color w:val="000000"/>
          <w:spacing w:val="3"/>
          <w:sz w:val="26"/>
          <w:szCs w:val="26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1197" w:leader="none"/>
        </w:tabs>
        <w:spacing w:before="0" w:after="0"/>
        <w:ind w:left="709"/>
        <w:contextualSpacing/>
        <w:rPr>
          <w:rFonts w:eastAsia="Times New Roman"/>
          <w:color w:val="000000"/>
          <w:spacing w:val="3"/>
          <w:sz w:val="26"/>
          <w:szCs w:val="26"/>
          <w:lang w:eastAsia="ru-RU"/>
        </w:rPr>
      </w:pPr>
      <w:r>
        <w:rPr>
          <w:rFonts w:eastAsia="Times New Roman"/>
          <w:color w:val="000000"/>
          <w:spacing w:val="3"/>
          <w:sz w:val="26"/>
          <w:szCs w:val="26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1197" w:leader="none"/>
        </w:tabs>
        <w:spacing w:before="0" w:after="0"/>
        <w:ind w:left="709"/>
        <w:contextualSpacing/>
        <w:rPr>
          <w:rFonts w:eastAsia="Times New Roman"/>
          <w:color w:val="000000"/>
          <w:spacing w:val="3"/>
          <w:sz w:val="26"/>
          <w:szCs w:val="26"/>
          <w:lang w:eastAsia="ru-RU"/>
        </w:rPr>
      </w:pPr>
      <w:r>
        <w:rPr>
          <w:rFonts w:eastAsia="Times New Roman"/>
          <w:color w:val="000000"/>
          <w:spacing w:val="3"/>
          <w:sz w:val="26"/>
          <w:szCs w:val="26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1197" w:leader="none"/>
        </w:tabs>
        <w:spacing w:before="0" w:after="0"/>
        <w:ind w:left="709"/>
        <w:contextualSpacing/>
        <w:rPr>
          <w:rFonts w:eastAsia="Times New Roman"/>
          <w:color w:val="000000"/>
          <w:spacing w:val="3"/>
          <w:sz w:val="26"/>
          <w:szCs w:val="26"/>
          <w:lang w:eastAsia="ru-RU"/>
        </w:rPr>
      </w:pPr>
      <w:r>
        <w:rPr>
          <w:rFonts w:eastAsia="Times New Roman"/>
          <w:color w:val="000000"/>
          <w:spacing w:val="3"/>
          <w:sz w:val="26"/>
          <w:szCs w:val="26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1197" w:leader="none"/>
        </w:tabs>
        <w:spacing w:before="0" w:after="0"/>
        <w:ind w:left="709"/>
        <w:contextualSpacing/>
        <w:rPr>
          <w:rFonts w:eastAsia="Times New Roman"/>
          <w:color w:val="000000"/>
          <w:spacing w:val="3"/>
          <w:sz w:val="26"/>
          <w:szCs w:val="26"/>
          <w:lang w:eastAsia="ru-RU"/>
        </w:rPr>
      </w:pPr>
      <w:r>
        <w:rPr>
          <w:rFonts w:eastAsia="Times New Roman"/>
          <w:color w:val="000000"/>
          <w:spacing w:val="3"/>
          <w:sz w:val="26"/>
          <w:szCs w:val="26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1197" w:leader="none"/>
        </w:tabs>
        <w:spacing w:before="0" w:after="0"/>
        <w:ind w:left="709"/>
        <w:contextualSpacing/>
        <w:rPr>
          <w:rFonts w:eastAsia="Times New Roman"/>
          <w:color w:val="000000"/>
          <w:spacing w:val="3"/>
          <w:sz w:val="26"/>
          <w:szCs w:val="26"/>
          <w:lang w:eastAsia="ru-RU"/>
        </w:rPr>
      </w:pPr>
      <w:r>
        <w:rPr>
          <w:rFonts w:eastAsia="Times New Roman"/>
          <w:color w:val="000000"/>
          <w:spacing w:val="3"/>
          <w:sz w:val="26"/>
          <w:szCs w:val="26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1197" w:leader="none"/>
        </w:tabs>
        <w:spacing w:before="0" w:after="0"/>
        <w:ind w:left="709"/>
        <w:contextualSpacing/>
        <w:rPr>
          <w:rFonts w:eastAsia="Times New Roman"/>
          <w:color w:val="000000"/>
          <w:spacing w:val="3"/>
          <w:sz w:val="26"/>
          <w:szCs w:val="26"/>
          <w:lang w:eastAsia="ru-RU"/>
        </w:rPr>
      </w:pPr>
      <w:r>
        <w:rPr>
          <w:rFonts w:eastAsia="Times New Roman"/>
          <w:color w:val="000000"/>
          <w:spacing w:val="3"/>
          <w:sz w:val="26"/>
          <w:szCs w:val="26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1197" w:leader="none"/>
        </w:tabs>
        <w:spacing w:before="0" w:after="0"/>
        <w:ind w:left="709"/>
        <w:contextualSpacing/>
        <w:rPr>
          <w:rFonts w:eastAsia="Times New Roman"/>
          <w:color w:val="000000"/>
          <w:spacing w:val="3"/>
          <w:sz w:val="26"/>
          <w:szCs w:val="26"/>
          <w:lang w:eastAsia="ru-RU"/>
        </w:rPr>
      </w:pPr>
      <w:r>
        <w:rPr>
          <w:rFonts w:eastAsia="Times New Roman"/>
          <w:color w:val="000000"/>
          <w:spacing w:val="3"/>
          <w:sz w:val="26"/>
          <w:szCs w:val="26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1197" w:leader="none"/>
        </w:tabs>
        <w:spacing w:before="0" w:after="0"/>
        <w:ind w:left="709"/>
        <w:contextualSpacing/>
        <w:rPr>
          <w:rFonts w:eastAsia="Times New Roman"/>
          <w:color w:val="000000"/>
          <w:spacing w:val="3"/>
          <w:sz w:val="26"/>
          <w:szCs w:val="26"/>
          <w:lang w:eastAsia="ru-RU"/>
        </w:rPr>
      </w:pPr>
      <w:r>
        <w:rPr>
          <w:rFonts w:eastAsia="Times New Roman"/>
          <w:color w:val="000000"/>
          <w:spacing w:val="3"/>
          <w:sz w:val="26"/>
          <w:szCs w:val="26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1197" w:leader="none"/>
        </w:tabs>
        <w:spacing w:before="0" w:after="0"/>
        <w:ind w:left="709"/>
        <w:contextualSpacing/>
        <w:rPr>
          <w:rFonts w:eastAsia="Times New Roman"/>
          <w:color w:val="000000"/>
          <w:spacing w:val="3"/>
          <w:sz w:val="26"/>
          <w:szCs w:val="26"/>
          <w:lang w:eastAsia="ru-RU"/>
        </w:rPr>
      </w:pPr>
      <w:r>
        <w:rPr>
          <w:rFonts w:eastAsia="Times New Roman"/>
          <w:color w:val="000000"/>
          <w:spacing w:val="3"/>
          <w:sz w:val="26"/>
          <w:szCs w:val="26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1197" w:leader="none"/>
        </w:tabs>
        <w:spacing w:before="0" w:after="0"/>
        <w:ind w:left="709"/>
        <w:contextualSpacing/>
        <w:rPr>
          <w:rFonts w:eastAsia="Times New Roman"/>
          <w:color w:val="000000"/>
          <w:spacing w:val="3"/>
          <w:sz w:val="26"/>
          <w:szCs w:val="26"/>
          <w:lang w:eastAsia="ru-RU"/>
        </w:rPr>
      </w:pPr>
      <w:r>
        <w:rPr>
          <w:rFonts w:eastAsia="Times New Roman"/>
          <w:color w:val="000000"/>
          <w:spacing w:val="3"/>
          <w:sz w:val="26"/>
          <w:szCs w:val="26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1197" w:leader="none"/>
        </w:tabs>
        <w:spacing w:before="0" w:after="0"/>
        <w:ind w:left="709"/>
        <w:contextualSpacing/>
        <w:rPr>
          <w:rFonts w:eastAsia="Times New Roman"/>
          <w:color w:val="000000"/>
          <w:spacing w:val="3"/>
          <w:sz w:val="26"/>
          <w:szCs w:val="26"/>
          <w:lang w:eastAsia="ru-RU"/>
        </w:rPr>
      </w:pPr>
      <w:r>
        <w:rPr>
          <w:rFonts w:eastAsia="Times New Roman"/>
          <w:color w:val="000000"/>
          <w:spacing w:val="3"/>
          <w:sz w:val="26"/>
          <w:szCs w:val="26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1197" w:leader="none"/>
        </w:tabs>
        <w:spacing w:before="0" w:after="0"/>
        <w:ind w:left="709"/>
        <w:contextualSpacing/>
        <w:rPr>
          <w:rFonts w:eastAsia="Times New Roman"/>
          <w:color w:val="000000"/>
          <w:spacing w:val="3"/>
          <w:sz w:val="26"/>
          <w:szCs w:val="26"/>
          <w:lang w:eastAsia="ru-RU"/>
        </w:rPr>
      </w:pPr>
      <w:r>
        <w:rPr>
          <w:rFonts w:eastAsia="Times New Roman"/>
          <w:color w:val="000000"/>
          <w:spacing w:val="3"/>
          <w:sz w:val="26"/>
          <w:szCs w:val="26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1197" w:leader="none"/>
        </w:tabs>
        <w:spacing w:before="0" w:after="0"/>
        <w:ind w:left="709"/>
        <w:contextualSpacing/>
        <w:rPr>
          <w:rFonts w:eastAsia="Times New Roman"/>
          <w:color w:val="000000"/>
          <w:spacing w:val="3"/>
          <w:sz w:val="26"/>
          <w:szCs w:val="26"/>
          <w:lang w:eastAsia="ru-RU"/>
        </w:rPr>
      </w:pPr>
      <w:r>
        <w:rPr>
          <w:rFonts w:eastAsia="Times New Roman"/>
          <w:color w:val="000000"/>
          <w:spacing w:val="3"/>
          <w:sz w:val="26"/>
          <w:szCs w:val="26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1197" w:leader="none"/>
        </w:tabs>
        <w:spacing w:before="0" w:after="0"/>
        <w:ind w:left="709"/>
        <w:contextualSpacing/>
        <w:rPr>
          <w:rFonts w:eastAsia="Times New Roman"/>
          <w:color w:val="000000"/>
          <w:spacing w:val="3"/>
          <w:sz w:val="26"/>
          <w:szCs w:val="26"/>
          <w:lang w:eastAsia="ru-RU"/>
        </w:rPr>
      </w:pPr>
      <w:r>
        <w:rPr>
          <w:rFonts w:eastAsia="Times New Roman"/>
          <w:color w:val="000000"/>
          <w:spacing w:val="3"/>
          <w:sz w:val="26"/>
          <w:szCs w:val="26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1197" w:leader="none"/>
        </w:tabs>
        <w:spacing w:before="0" w:after="0"/>
        <w:ind w:left="709"/>
        <w:contextualSpacing/>
        <w:rPr>
          <w:rFonts w:eastAsia="Times New Roman"/>
          <w:color w:val="000000"/>
          <w:spacing w:val="3"/>
          <w:sz w:val="26"/>
          <w:szCs w:val="26"/>
          <w:lang w:eastAsia="ru-RU"/>
        </w:rPr>
      </w:pPr>
      <w:r>
        <w:rPr>
          <w:rFonts w:eastAsia="Times New Roman"/>
          <w:color w:val="000000"/>
          <w:spacing w:val="3"/>
          <w:sz w:val="26"/>
          <w:szCs w:val="26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1197" w:leader="none"/>
        </w:tabs>
        <w:spacing w:before="0" w:after="0"/>
        <w:ind w:left="709"/>
        <w:contextualSpacing/>
        <w:rPr>
          <w:rFonts w:eastAsia="Times New Roman"/>
          <w:color w:val="000000"/>
          <w:spacing w:val="3"/>
          <w:sz w:val="26"/>
          <w:szCs w:val="26"/>
          <w:lang w:eastAsia="ru-RU"/>
        </w:rPr>
      </w:pPr>
      <w:r>
        <w:rPr>
          <w:rFonts w:eastAsia="Times New Roman"/>
          <w:color w:val="000000"/>
          <w:spacing w:val="3"/>
          <w:sz w:val="26"/>
          <w:szCs w:val="26"/>
          <w:lang w:eastAsia="ru-RU"/>
        </w:rPr>
      </w:r>
    </w:p>
    <w:p>
      <w:pPr>
        <w:pStyle w:val="Normal"/>
        <w:rPr>
          <w:vanish/>
        </w:rPr>
      </w:pPr>
      <w:r>
        <w:rPr>
          <w:vanish/>
        </w:rPr>
      </w:r>
    </w:p>
    <w:tbl>
      <w:tblPr>
        <w:tblStyle w:val="1"/>
        <w:tblW w:w="978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820"/>
        <w:gridCol w:w="4960"/>
      </w:tblGrid>
      <w:tr>
        <w:trPr>
          <w:trHeight w:val="1262" w:hRule="atLeast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eastAsia="Calibri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lang w:val="ru-RU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rPr>
                <w:rFonts w:eastAsia="Calibri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lang w:val="ru-RU" w:bidi="ar-SA"/>
              </w:rPr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Приложение № 1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 решению территориальной избирательной комиссии Горячеключевская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 06.09.2026 № 19/111-6</w:t>
            </w:r>
          </w:p>
        </w:tc>
      </w:tr>
    </w:tbl>
    <w:p>
      <w:pPr>
        <w:pStyle w:val="Normal"/>
        <w:jc w:val="center"/>
        <w:rPr>
          <w:rFonts w:eastAsia="Times New Roman"/>
          <w:color w:val="000000"/>
          <w:spacing w:val="3"/>
          <w:szCs w:val="28"/>
          <w:lang w:eastAsia="ru-RU"/>
        </w:rPr>
      </w:pPr>
      <w:r>
        <w:rPr>
          <w:szCs w:val="28"/>
        </w:rPr>
        <w:t>Распределение</w:t>
      </w:r>
      <w:r>
        <w:rPr>
          <w:rFonts w:eastAsia="Times New Roman"/>
          <w:color w:val="000000"/>
          <w:spacing w:val="3"/>
          <w:szCs w:val="28"/>
          <w:lang w:eastAsia="ru-RU"/>
        </w:rPr>
        <w:t xml:space="preserve"> избирательных бюллетеней для голосования </w:t>
      </w:r>
    </w:p>
    <w:p>
      <w:pPr>
        <w:pStyle w:val="Normal"/>
        <w:jc w:val="center"/>
        <w:rPr>
          <w:rFonts w:eastAsia="Times New Roman"/>
          <w:color w:val="000000"/>
          <w:spacing w:val="3"/>
          <w:szCs w:val="28"/>
          <w:lang w:eastAsia="ru-RU"/>
        </w:rPr>
      </w:pPr>
      <w:r>
        <w:rPr>
          <w:rFonts w:eastAsia="Times New Roman"/>
          <w:color w:val="000000"/>
          <w:spacing w:val="3"/>
          <w:szCs w:val="28"/>
          <w:lang w:eastAsia="ru-RU"/>
        </w:rPr>
        <w:t xml:space="preserve">на выборах </w:t>
      </w:r>
      <w:r>
        <w:rPr>
          <w:rFonts w:eastAsia="Times New Roman"/>
          <w:b w:val="false"/>
          <w:bCs w:val="false"/>
          <w:color w:val="000000"/>
          <w:spacing w:val="3"/>
          <w:szCs w:val="28"/>
          <w:lang w:eastAsia="ru-RU"/>
        </w:rPr>
        <w:t>депутатов Государственной Думы Федерального Собрания Российской Федерации девятого созыва по федеральному и одномандатному избирательным округам</w:t>
      </w:r>
      <w:r>
        <w:rPr>
          <w:rFonts w:eastAsia="Times New Roman"/>
          <w:color w:val="000000"/>
          <w:spacing w:val="3"/>
          <w:szCs w:val="28"/>
          <w:lang w:eastAsia="ru-RU"/>
        </w:rPr>
        <w:t xml:space="preserve">, передаваемых </w:t>
      </w:r>
    </w:p>
    <w:p>
      <w:pPr>
        <w:pStyle w:val="Normal"/>
        <w:jc w:val="center"/>
        <w:rPr>
          <w:szCs w:val="28"/>
        </w:rPr>
      </w:pPr>
      <w:r>
        <w:rPr>
          <w:rFonts w:eastAsia="Times New Roman"/>
          <w:color w:val="000000"/>
          <w:spacing w:val="3"/>
          <w:szCs w:val="28"/>
          <w:lang w:eastAsia="ru-RU"/>
        </w:rPr>
        <w:t>участковым избирательным комиссиям</w:t>
      </w:r>
    </w:p>
    <w:p>
      <w:pPr>
        <w:pStyle w:val="Normal"/>
        <w:widowControl w:val="false"/>
        <w:ind w:firstLine="709"/>
        <w:jc w:val="center"/>
        <w:rPr>
          <w:rFonts w:eastAsia="Times New Roman"/>
          <w:color w:val="000000"/>
          <w:spacing w:val="3"/>
          <w:szCs w:val="28"/>
          <w:lang w:eastAsia="ru-RU"/>
        </w:rPr>
      </w:pPr>
      <w:r>
        <w:rPr>
          <w:rFonts w:eastAsia="Times New Roman"/>
          <w:color w:val="000000"/>
          <w:spacing w:val="3"/>
          <w:szCs w:val="28"/>
          <w:lang w:eastAsia="ru-RU"/>
        </w:rPr>
      </w:r>
    </w:p>
    <w:tbl>
      <w:tblPr>
        <w:tblStyle w:val="1"/>
        <w:tblW w:w="9781" w:type="dxa"/>
        <w:jc w:val="left"/>
        <w:tblInd w:w="-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15"/>
        <w:gridCol w:w="4139"/>
        <w:gridCol w:w="2551"/>
        <w:gridCol w:w="2475"/>
      </w:tblGrid>
      <w:tr>
        <w:trPr>
          <w:tblHeader w:val="true"/>
          <w:trHeight w:val="1005" w:hRule="atLeast"/>
        </w:trPr>
        <w:tc>
          <w:tcPr>
            <w:tcW w:w="615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п/п</w:t>
            </w:r>
          </w:p>
        </w:tc>
        <w:tc>
          <w:tcPr>
            <w:tcW w:w="4139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lang w:val="ru-RU" w:bidi="ar-SA"/>
              </w:rPr>
              <w:t>Наименование участковой избирательной комиссии</w:t>
            </w:r>
          </w:p>
          <w:p>
            <w:pPr>
              <w:pStyle w:val="Normal"/>
              <w:widowControl/>
              <w:suppressAutoHyphens w:val="true"/>
              <w:spacing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026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избирательных бюллетеней</w:t>
            </w:r>
          </w:p>
        </w:tc>
      </w:tr>
      <w:tr>
        <w:trPr/>
        <w:tc>
          <w:tcPr>
            <w:tcW w:w="615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39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федеральному избирательному округу</w:t>
            </w:r>
          </w:p>
        </w:tc>
        <w:tc>
          <w:tcPr>
            <w:tcW w:w="247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/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По одномандатному избирательному округу</w:t>
            </w:r>
          </w:p>
        </w:tc>
      </w:tr>
      <w:tr>
        <w:trPr/>
        <w:tc>
          <w:tcPr>
            <w:tcW w:w="61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</w:t>
            </w:r>
          </w:p>
        </w:tc>
        <w:tc>
          <w:tcPr>
            <w:tcW w:w="4139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Участковая избирательная комиссия избирательного участка № 10-01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1850</w:t>
            </w:r>
          </w:p>
        </w:tc>
        <w:tc>
          <w:tcPr>
            <w:tcW w:w="2475" w:type="dxa"/>
            <w:tcBorders/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1850</w:t>
            </w:r>
          </w:p>
        </w:tc>
      </w:tr>
      <w:tr>
        <w:trPr/>
        <w:tc>
          <w:tcPr>
            <w:tcW w:w="61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2</w:t>
            </w:r>
          </w:p>
        </w:tc>
        <w:tc>
          <w:tcPr>
            <w:tcW w:w="4139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Участковая избирательная комиссия избирательного участка № 10-02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1150</w:t>
            </w:r>
          </w:p>
        </w:tc>
        <w:tc>
          <w:tcPr>
            <w:tcW w:w="2475" w:type="dxa"/>
            <w:tcBorders/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1150</w:t>
            </w:r>
          </w:p>
        </w:tc>
      </w:tr>
      <w:tr>
        <w:trPr/>
        <w:tc>
          <w:tcPr>
            <w:tcW w:w="61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3</w:t>
            </w:r>
          </w:p>
        </w:tc>
        <w:tc>
          <w:tcPr>
            <w:tcW w:w="4139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Участковая избирательная комиссия избирательного участка № 10-03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1350</w:t>
            </w:r>
          </w:p>
        </w:tc>
        <w:tc>
          <w:tcPr>
            <w:tcW w:w="2475" w:type="dxa"/>
            <w:tcBorders/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1350</w:t>
            </w:r>
          </w:p>
        </w:tc>
      </w:tr>
      <w:tr>
        <w:trPr/>
        <w:tc>
          <w:tcPr>
            <w:tcW w:w="61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4</w:t>
            </w:r>
          </w:p>
        </w:tc>
        <w:tc>
          <w:tcPr>
            <w:tcW w:w="4139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Участковая избирательная комиссия избирательного участка № 10-04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1500</w:t>
            </w:r>
          </w:p>
        </w:tc>
        <w:tc>
          <w:tcPr>
            <w:tcW w:w="2475" w:type="dxa"/>
            <w:tcBorders/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1500</w:t>
            </w:r>
          </w:p>
        </w:tc>
      </w:tr>
      <w:tr>
        <w:trPr/>
        <w:tc>
          <w:tcPr>
            <w:tcW w:w="61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5</w:t>
            </w:r>
          </w:p>
        </w:tc>
        <w:tc>
          <w:tcPr>
            <w:tcW w:w="4139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Участковая избирательная комиссия избирательного участка № 10-05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1900</w:t>
            </w:r>
          </w:p>
        </w:tc>
        <w:tc>
          <w:tcPr>
            <w:tcW w:w="2475" w:type="dxa"/>
            <w:tcBorders/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1900</w:t>
            </w:r>
          </w:p>
        </w:tc>
      </w:tr>
      <w:tr>
        <w:trPr/>
        <w:tc>
          <w:tcPr>
            <w:tcW w:w="61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6</w:t>
            </w:r>
          </w:p>
        </w:tc>
        <w:tc>
          <w:tcPr>
            <w:tcW w:w="4139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Участковая избирательная комиссия избирательного участка № 10-06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1550</w:t>
            </w:r>
          </w:p>
        </w:tc>
        <w:tc>
          <w:tcPr>
            <w:tcW w:w="2475" w:type="dxa"/>
            <w:tcBorders/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1550</w:t>
            </w:r>
          </w:p>
        </w:tc>
      </w:tr>
      <w:tr>
        <w:trPr/>
        <w:tc>
          <w:tcPr>
            <w:tcW w:w="61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7</w:t>
            </w:r>
          </w:p>
        </w:tc>
        <w:tc>
          <w:tcPr>
            <w:tcW w:w="4139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Участковая избирательная комиссия избирательного участка № 10-07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1750</w:t>
            </w:r>
          </w:p>
        </w:tc>
        <w:tc>
          <w:tcPr>
            <w:tcW w:w="2475" w:type="dxa"/>
            <w:tcBorders/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1750</w:t>
            </w:r>
          </w:p>
        </w:tc>
      </w:tr>
      <w:tr>
        <w:trPr/>
        <w:tc>
          <w:tcPr>
            <w:tcW w:w="61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8</w:t>
            </w:r>
          </w:p>
        </w:tc>
        <w:tc>
          <w:tcPr>
            <w:tcW w:w="4139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Участковая избирательная комиссия избирательного участка № 10-08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1700</w:t>
            </w:r>
          </w:p>
        </w:tc>
        <w:tc>
          <w:tcPr>
            <w:tcW w:w="2475" w:type="dxa"/>
            <w:tcBorders/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1700</w:t>
            </w:r>
          </w:p>
        </w:tc>
      </w:tr>
      <w:tr>
        <w:trPr/>
        <w:tc>
          <w:tcPr>
            <w:tcW w:w="61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9</w:t>
            </w:r>
          </w:p>
        </w:tc>
        <w:tc>
          <w:tcPr>
            <w:tcW w:w="4139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Участковая избирательная комиссия избирательного участка № 10-09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1100</w:t>
            </w:r>
          </w:p>
        </w:tc>
        <w:tc>
          <w:tcPr>
            <w:tcW w:w="2475" w:type="dxa"/>
            <w:tcBorders/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1100</w:t>
            </w:r>
          </w:p>
        </w:tc>
      </w:tr>
      <w:tr>
        <w:trPr/>
        <w:tc>
          <w:tcPr>
            <w:tcW w:w="61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10</w:t>
            </w:r>
          </w:p>
        </w:tc>
        <w:tc>
          <w:tcPr>
            <w:tcW w:w="4139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Участковая избирательная комиссия избирательного участка № 10-10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2100</w:t>
            </w:r>
          </w:p>
        </w:tc>
        <w:tc>
          <w:tcPr>
            <w:tcW w:w="2475" w:type="dxa"/>
            <w:tcBorders/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2100</w:t>
            </w:r>
          </w:p>
        </w:tc>
      </w:tr>
      <w:tr>
        <w:trPr/>
        <w:tc>
          <w:tcPr>
            <w:tcW w:w="61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11</w:t>
            </w:r>
          </w:p>
        </w:tc>
        <w:tc>
          <w:tcPr>
            <w:tcW w:w="4139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Участковая избирательная комиссия избирательного участка № 10-11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500</w:t>
            </w:r>
          </w:p>
        </w:tc>
        <w:tc>
          <w:tcPr>
            <w:tcW w:w="2475" w:type="dxa"/>
            <w:tcBorders/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500</w:t>
            </w:r>
          </w:p>
        </w:tc>
      </w:tr>
      <w:tr>
        <w:trPr/>
        <w:tc>
          <w:tcPr>
            <w:tcW w:w="61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12</w:t>
            </w:r>
          </w:p>
        </w:tc>
        <w:tc>
          <w:tcPr>
            <w:tcW w:w="4139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Участковая избирательная комиссия избирательного участка № 10-12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1400</w:t>
            </w:r>
          </w:p>
        </w:tc>
        <w:tc>
          <w:tcPr>
            <w:tcW w:w="2475" w:type="dxa"/>
            <w:tcBorders/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1400</w:t>
            </w:r>
          </w:p>
        </w:tc>
      </w:tr>
      <w:tr>
        <w:trPr/>
        <w:tc>
          <w:tcPr>
            <w:tcW w:w="61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13</w:t>
            </w:r>
          </w:p>
        </w:tc>
        <w:tc>
          <w:tcPr>
            <w:tcW w:w="4139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Участковая избирательная комиссия избирательного участка № 10-13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1650</w:t>
            </w:r>
          </w:p>
        </w:tc>
        <w:tc>
          <w:tcPr>
            <w:tcW w:w="2475" w:type="dxa"/>
            <w:tcBorders/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1650</w:t>
            </w:r>
          </w:p>
        </w:tc>
      </w:tr>
      <w:tr>
        <w:trPr/>
        <w:tc>
          <w:tcPr>
            <w:tcW w:w="61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14</w:t>
            </w:r>
          </w:p>
        </w:tc>
        <w:tc>
          <w:tcPr>
            <w:tcW w:w="4139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Участковая избирательная комиссия избирательного участка № 10-14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2000</w:t>
            </w:r>
          </w:p>
        </w:tc>
        <w:tc>
          <w:tcPr>
            <w:tcW w:w="2475" w:type="dxa"/>
            <w:tcBorders/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2000</w:t>
            </w:r>
          </w:p>
        </w:tc>
      </w:tr>
      <w:tr>
        <w:trPr/>
        <w:tc>
          <w:tcPr>
            <w:tcW w:w="61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15</w:t>
            </w:r>
          </w:p>
        </w:tc>
        <w:tc>
          <w:tcPr>
            <w:tcW w:w="4139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Участковая избирательная комиссия избирательного участка № 10-15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800</w:t>
            </w:r>
          </w:p>
        </w:tc>
        <w:tc>
          <w:tcPr>
            <w:tcW w:w="2475" w:type="dxa"/>
            <w:tcBorders/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800</w:t>
            </w:r>
          </w:p>
        </w:tc>
      </w:tr>
      <w:tr>
        <w:trPr/>
        <w:tc>
          <w:tcPr>
            <w:tcW w:w="61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16</w:t>
            </w:r>
          </w:p>
        </w:tc>
        <w:tc>
          <w:tcPr>
            <w:tcW w:w="4139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Участковая избирательная комиссия избирательного участка № 10-16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550</w:t>
            </w:r>
          </w:p>
        </w:tc>
        <w:tc>
          <w:tcPr>
            <w:tcW w:w="2475" w:type="dxa"/>
            <w:tcBorders/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550</w:t>
            </w:r>
          </w:p>
        </w:tc>
      </w:tr>
      <w:tr>
        <w:trPr/>
        <w:tc>
          <w:tcPr>
            <w:tcW w:w="61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17</w:t>
            </w:r>
          </w:p>
        </w:tc>
        <w:tc>
          <w:tcPr>
            <w:tcW w:w="4139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Участковая избирательная комиссия избирательного участка № 10-17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100</w:t>
            </w:r>
          </w:p>
        </w:tc>
        <w:tc>
          <w:tcPr>
            <w:tcW w:w="2475" w:type="dxa"/>
            <w:tcBorders/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100</w:t>
            </w:r>
          </w:p>
        </w:tc>
      </w:tr>
      <w:tr>
        <w:trPr/>
        <w:tc>
          <w:tcPr>
            <w:tcW w:w="61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18</w:t>
            </w:r>
          </w:p>
        </w:tc>
        <w:tc>
          <w:tcPr>
            <w:tcW w:w="4139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Участковая избирательная комиссия избирательного участка № 10-18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180</w:t>
            </w:r>
          </w:p>
        </w:tc>
        <w:tc>
          <w:tcPr>
            <w:tcW w:w="2475" w:type="dxa"/>
            <w:tcBorders/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180</w:t>
            </w:r>
          </w:p>
        </w:tc>
      </w:tr>
      <w:tr>
        <w:trPr/>
        <w:tc>
          <w:tcPr>
            <w:tcW w:w="61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19</w:t>
            </w:r>
          </w:p>
        </w:tc>
        <w:tc>
          <w:tcPr>
            <w:tcW w:w="4139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Участковая избирательная комиссия избирательного участка № 10-19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600</w:t>
            </w:r>
          </w:p>
        </w:tc>
        <w:tc>
          <w:tcPr>
            <w:tcW w:w="2475" w:type="dxa"/>
            <w:tcBorders/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/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600</w:t>
            </w:r>
          </w:p>
        </w:tc>
      </w:tr>
      <w:tr>
        <w:trPr/>
        <w:tc>
          <w:tcPr>
            <w:tcW w:w="61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20</w:t>
            </w:r>
          </w:p>
        </w:tc>
        <w:tc>
          <w:tcPr>
            <w:tcW w:w="4139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Участковая избирательная комиссия избирательного участка № 10-20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 xml:space="preserve">                                         </w:t>
            </w: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250</w:t>
            </w:r>
          </w:p>
        </w:tc>
        <w:tc>
          <w:tcPr>
            <w:tcW w:w="2475" w:type="dxa"/>
            <w:tcBorders/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/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250</w:t>
            </w:r>
          </w:p>
        </w:tc>
      </w:tr>
      <w:tr>
        <w:trPr>
          <w:trHeight w:val="70" w:hRule="atLeast"/>
        </w:trPr>
        <w:tc>
          <w:tcPr>
            <w:tcW w:w="61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21</w:t>
            </w:r>
          </w:p>
        </w:tc>
        <w:tc>
          <w:tcPr>
            <w:tcW w:w="4139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Участковая избирательная комиссия избирательного участка № 10-21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1150</w:t>
            </w:r>
          </w:p>
        </w:tc>
        <w:tc>
          <w:tcPr>
            <w:tcW w:w="2475" w:type="dxa"/>
            <w:tcBorders/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/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1150</w:t>
            </w:r>
          </w:p>
        </w:tc>
      </w:tr>
      <w:tr>
        <w:trPr/>
        <w:tc>
          <w:tcPr>
            <w:tcW w:w="61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22</w:t>
            </w:r>
          </w:p>
        </w:tc>
        <w:tc>
          <w:tcPr>
            <w:tcW w:w="4139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Участковая избирательная комиссия избирательного участка № 10-22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850</w:t>
            </w:r>
          </w:p>
        </w:tc>
        <w:tc>
          <w:tcPr>
            <w:tcW w:w="2475" w:type="dxa"/>
            <w:tcBorders/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/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850</w:t>
            </w:r>
          </w:p>
        </w:tc>
      </w:tr>
      <w:tr>
        <w:trPr/>
        <w:tc>
          <w:tcPr>
            <w:tcW w:w="61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23</w:t>
            </w:r>
          </w:p>
        </w:tc>
        <w:tc>
          <w:tcPr>
            <w:tcW w:w="4139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Участковая избирательная комиссия избирательного участка № 10-23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1350</w:t>
            </w:r>
          </w:p>
        </w:tc>
        <w:tc>
          <w:tcPr>
            <w:tcW w:w="24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/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1350</w:t>
            </w:r>
          </w:p>
        </w:tc>
      </w:tr>
      <w:tr>
        <w:trPr/>
        <w:tc>
          <w:tcPr>
            <w:tcW w:w="61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24</w:t>
            </w:r>
          </w:p>
        </w:tc>
        <w:tc>
          <w:tcPr>
            <w:tcW w:w="4139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Участковая избирательная комиссия избирательного участка № 10-24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1100</w:t>
            </w:r>
          </w:p>
        </w:tc>
        <w:tc>
          <w:tcPr>
            <w:tcW w:w="24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/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1100</w:t>
            </w:r>
          </w:p>
        </w:tc>
      </w:tr>
      <w:tr>
        <w:trPr/>
        <w:tc>
          <w:tcPr>
            <w:tcW w:w="61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25</w:t>
            </w:r>
          </w:p>
        </w:tc>
        <w:tc>
          <w:tcPr>
            <w:tcW w:w="4139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Участковая избирательная комиссия избирательного участка № 10-25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2000</w:t>
            </w:r>
          </w:p>
        </w:tc>
        <w:tc>
          <w:tcPr>
            <w:tcW w:w="24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/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2000</w:t>
            </w:r>
          </w:p>
        </w:tc>
      </w:tr>
      <w:tr>
        <w:trPr/>
        <w:tc>
          <w:tcPr>
            <w:tcW w:w="61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26</w:t>
            </w:r>
          </w:p>
        </w:tc>
        <w:tc>
          <w:tcPr>
            <w:tcW w:w="4139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Участковая избирательная комиссия избирательного участка № 10-26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750</w:t>
            </w:r>
          </w:p>
        </w:tc>
        <w:tc>
          <w:tcPr>
            <w:tcW w:w="24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/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750</w:t>
            </w:r>
          </w:p>
        </w:tc>
      </w:tr>
      <w:tr>
        <w:trPr/>
        <w:tc>
          <w:tcPr>
            <w:tcW w:w="61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27</w:t>
            </w:r>
          </w:p>
        </w:tc>
        <w:tc>
          <w:tcPr>
            <w:tcW w:w="4139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Участковая избирательная комиссия избирательного участка № 10-27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1450</w:t>
            </w:r>
          </w:p>
        </w:tc>
        <w:tc>
          <w:tcPr>
            <w:tcW w:w="24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/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1450</w:t>
            </w:r>
          </w:p>
        </w:tc>
      </w:tr>
      <w:tr>
        <w:trPr>
          <w:trHeight w:val="626" w:hRule="atLeast"/>
        </w:trPr>
        <w:tc>
          <w:tcPr>
            <w:tcW w:w="61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28</w:t>
            </w:r>
          </w:p>
        </w:tc>
        <w:tc>
          <w:tcPr>
            <w:tcW w:w="4139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Участковая избирательная комиссия избирательного участка № 10-28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750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/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750</w:t>
            </w:r>
          </w:p>
        </w:tc>
      </w:tr>
      <w:tr>
        <w:trPr/>
        <w:tc>
          <w:tcPr>
            <w:tcW w:w="61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29</w:t>
            </w:r>
          </w:p>
        </w:tc>
        <w:tc>
          <w:tcPr>
            <w:tcW w:w="4139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Участковая избирательная комиссия избирательного участка № 10-29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750</w:t>
            </w:r>
          </w:p>
        </w:tc>
        <w:tc>
          <w:tcPr>
            <w:tcW w:w="24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/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750</w:t>
            </w:r>
          </w:p>
        </w:tc>
      </w:tr>
      <w:tr>
        <w:trPr/>
        <w:tc>
          <w:tcPr>
            <w:tcW w:w="61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30</w:t>
            </w:r>
          </w:p>
        </w:tc>
        <w:tc>
          <w:tcPr>
            <w:tcW w:w="4139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Участковая избирательная комиссия избирательного участка № 10-30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600</w:t>
            </w:r>
          </w:p>
        </w:tc>
        <w:tc>
          <w:tcPr>
            <w:tcW w:w="24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/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600</w:t>
            </w:r>
          </w:p>
        </w:tc>
      </w:tr>
      <w:tr>
        <w:trPr/>
        <w:tc>
          <w:tcPr>
            <w:tcW w:w="61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31</w:t>
            </w:r>
          </w:p>
        </w:tc>
        <w:tc>
          <w:tcPr>
            <w:tcW w:w="4139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Участковая избирательная комиссия избирательного участка № 10-31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1650</w:t>
            </w:r>
          </w:p>
        </w:tc>
        <w:tc>
          <w:tcPr>
            <w:tcW w:w="24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/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1650</w:t>
            </w:r>
          </w:p>
        </w:tc>
      </w:tr>
      <w:tr>
        <w:trPr/>
        <w:tc>
          <w:tcPr>
            <w:tcW w:w="61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32</w:t>
            </w:r>
          </w:p>
        </w:tc>
        <w:tc>
          <w:tcPr>
            <w:tcW w:w="4139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Участковая избирательная комиссия избирательного участка № 10-33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200</w:t>
            </w:r>
          </w:p>
        </w:tc>
        <w:tc>
          <w:tcPr>
            <w:tcW w:w="24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/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200</w:t>
            </w:r>
          </w:p>
        </w:tc>
      </w:tr>
      <w:tr>
        <w:trPr/>
        <w:tc>
          <w:tcPr>
            <w:tcW w:w="61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33</w:t>
            </w:r>
          </w:p>
        </w:tc>
        <w:tc>
          <w:tcPr>
            <w:tcW w:w="4139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Участковая избирательная комиссия избирательного участка № 10-34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150</w:t>
            </w:r>
          </w:p>
        </w:tc>
        <w:tc>
          <w:tcPr>
            <w:tcW w:w="24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/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150</w:t>
            </w:r>
          </w:p>
        </w:tc>
      </w:tr>
      <w:tr>
        <w:trPr/>
        <w:tc>
          <w:tcPr>
            <w:tcW w:w="61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34</w:t>
            </w:r>
          </w:p>
        </w:tc>
        <w:tc>
          <w:tcPr>
            <w:tcW w:w="4139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Участковая избирательная комиссия избирательного участка № 10-35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250</w:t>
            </w:r>
          </w:p>
        </w:tc>
        <w:tc>
          <w:tcPr>
            <w:tcW w:w="24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/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250</w:t>
            </w:r>
          </w:p>
        </w:tc>
      </w:tr>
      <w:tr>
        <w:trPr/>
        <w:tc>
          <w:tcPr>
            <w:tcW w:w="61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35</w:t>
            </w:r>
          </w:p>
        </w:tc>
        <w:tc>
          <w:tcPr>
            <w:tcW w:w="4139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Участковая избирательная комиссия избирательного участка № 10-36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1200</w:t>
            </w:r>
          </w:p>
        </w:tc>
        <w:tc>
          <w:tcPr>
            <w:tcW w:w="24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/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1200</w:t>
            </w:r>
          </w:p>
        </w:tc>
      </w:tr>
      <w:tr>
        <w:trPr/>
        <w:tc>
          <w:tcPr>
            <w:tcW w:w="61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36</w:t>
            </w:r>
          </w:p>
        </w:tc>
        <w:tc>
          <w:tcPr>
            <w:tcW w:w="4139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Участковая избирательная комиссия избирательного участка № 10-37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1600</w:t>
            </w:r>
          </w:p>
        </w:tc>
        <w:tc>
          <w:tcPr>
            <w:tcW w:w="24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/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1600</w:t>
            </w:r>
          </w:p>
        </w:tc>
      </w:tr>
      <w:tr>
        <w:trPr/>
        <w:tc>
          <w:tcPr>
            <w:tcW w:w="61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4139" w:type="dxa"/>
            <w:tcBorders>
              <w:right w:val="nil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>
              <w:rPr>
                <w:rFonts w:eastAsia="Calibri" w:cs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частковая избирательная комиссия избирательного участка № 10-38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</w:t>
            </w:r>
          </w:p>
        </w:tc>
        <w:tc>
          <w:tcPr>
            <w:tcW w:w="247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/>
            </w:pPr>
            <w:r>
              <w:rPr>
                <w:sz w:val="24"/>
                <w:szCs w:val="24"/>
              </w:rPr>
              <w:t>1300</w:t>
            </w:r>
          </w:p>
        </w:tc>
      </w:tr>
      <w:tr>
        <w:trPr/>
        <w:tc>
          <w:tcPr>
            <w:tcW w:w="61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4139" w:type="dxa"/>
            <w:tcBorders>
              <w:top w:val="nil"/>
              <w:right w:val="nil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>
              <w:rPr>
                <w:rFonts w:eastAsia="Calibri" w:cs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частковая избирательная комиссия избирательного участка № 10-39</w:t>
            </w:r>
          </w:p>
        </w:tc>
        <w:tc>
          <w:tcPr>
            <w:tcW w:w="255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1100</w:t>
            </w:r>
          </w:p>
        </w:tc>
        <w:tc>
          <w:tcPr>
            <w:tcW w:w="247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/>
            </w:pPr>
            <w:r>
              <w:rPr>
                <w:sz w:val="24"/>
                <w:szCs w:val="24"/>
              </w:rPr>
              <w:t>1100</w:t>
            </w:r>
          </w:p>
        </w:tc>
      </w:tr>
      <w:tr>
        <w:trPr/>
        <w:tc>
          <w:tcPr>
            <w:tcW w:w="61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38</w:t>
            </w:r>
          </w:p>
        </w:tc>
        <w:tc>
          <w:tcPr>
            <w:tcW w:w="4139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Участковая избирательная комиссия избирательного участка № 10-98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150</w:t>
            </w:r>
          </w:p>
        </w:tc>
        <w:tc>
          <w:tcPr>
            <w:tcW w:w="24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/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150</w:t>
            </w:r>
          </w:p>
        </w:tc>
      </w:tr>
      <w:tr>
        <w:trPr/>
        <w:tc>
          <w:tcPr>
            <w:tcW w:w="61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38</w:t>
            </w:r>
          </w:p>
        </w:tc>
        <w:tc>
          <w:tcPr>
            <w:tcW w:w="4139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Участковая избирательная комиссия избирательного участка № 10-99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3750</w:t>
            </w:r>
          </w:p>
        </w:tc>
        <w:tc>
          <w:tcPr>
            <w:tcW w:w="24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/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3750</w:t>
            </w:r>
          </w:p>
        </w:tc>
      </w:tr>
      <w:tr>
        <w:trPr>
          <w:trHeight w:val="437" w:hRule="atLeast"/>
        </w:trPr>
        <w:tc>
          <w:tcPr>
            <w:tcW w:w="61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39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Итого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46080</w:t>
            </w:r>
          </w:p>
        </w:tc>
        <w:tc>
          <w:tcPr>
            <w:tcW w:w="24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46080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1"/>
        <w:tblW w:w="93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510"/>
        <w:gridCol w:w="4844"/>
      </w:tblGrid>
      <w:tr>
        <w:trPr/>
        <w:tc>
          <w:tcPr>
            <w:tcW w:w="45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eastAsia="Calibri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lang w:val="ru-RU" w:bidi="ar-SA"/>
              </w:rPr>
            </w:r>
          </w:p>
        </w:tc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right="-766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Приложение № 2</w:t>
            </w:r>
          </w:p>
          <w:p>
            <w:pPr>
              <w:pStyle w:val="Normal"/>
              <w:widowControl/>
              <w:suppressAutoHyphens w:val="true"/>
              <w:spacing w:before="0" w:after="0"/>
              <w:ind w:right="-115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 решению территориальной избирательной комиссии Горячеключевская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 w:cs="Times New Roman"/>
                <w:kern w:val="0"/>
                <w:lang w:val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 06.09.2026 №19/111-6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jc w:val="center"/>
        <w:rPr>
          <w:szCs w:val="28"/>
        </w:rPr>
      </w:pPr>
      <w:r>
        <w:rPr>
          <w:rFonts w:eastAsia="Times New Roman"/>
          <w:color w:val="000000"/>
          <w:spacing w:val="3"/>
          <w:szCs w:val="28"/>
          <w:lang w:eastAsia="ru-RU"/>
        </w:rPr>
        <w:t xml:space="preserve">Распределение в резерв территориальной избирательной комиссии                   Горячеключевская избирательных бюллетеней для голосования на выборах </w:t>
      </w:r>
      <w:r>
        <w:rPr>
          <w:rFonts w:eastAsia="Times New Roman"/>
          <w:b w:val="false"/>
          <w:bCs w:val="false"/>
          <w:color w:val="000000"/>
          <w:spacing w:val="3"/>
          <w:szCs w:val="28"/>
          <w:lang w:eastAsia="ru-RU"/>
        </w:rPr>
        <w:t xml:space="preserve">депутатов Государственной Думы Федерального Собрания Российской Федерации девятого созыва по федеральному </w:t>
      </w:r>
    </w:p>
    <w:p>
      <w:pPr>
        <w:pStyle w:val="Normal"/>
        <w:jc w:val="center"/>
        <w:rPr>
          <w:szCs w:val="28"/>
        </w:rPr>
      </w:pPr>
      <w:r>
        <w:rPr>
          <w:rFonts w:eastAsia="Times New Roman"/>
          <w:b w:val="false"/>
          <w:bCs w:val="false"/>
          <w:color w:val="000000"/>
          <w:spacing w:val="3"/>
          <w:szCs w:val="28"/>
          <w:lang w:eastAsia="ru-RU"/>
        </w:rPr>
        <w:t>и одномандатному избирательным округа</w:t>
      </w:r>
    </w:p>
    <w:p>
      <w:pPr>
        <w:pStyle w:val="Normal"/>
        <w:jc w:val="center"/>
        <w:rPr/>
      </w:pPr>
      <w:r>
        <w:rPr/>
      </w:r>
    </w:p>
    <w:tbl>
      <w:tblPr>
        <w:tblStyle w:val="1"/>
        <w:tblW w:w="95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59"/>
        <w:gridCol w:w="6220"/>
        <w:gridCol w:w="2393"/>
      </w:tblGrid>
      <w:tr>
        <w:trPr/>
        <w:tc>
          <w:tcPr>
            <w:tcW w:w="9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п/п</w:t>
            </w:r>
          </w:p>
        </w:tc>
        <w:tc>
          <w:tcPr>
            <w:tcW w:w="62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Наименование избирательной комиссии</w:t>
            </w:r>
          </w:p>
        </w:tc>
        <w:tc>
          <w:tcPr>
            <w:tcW w:w="239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Количество избирательных бюллетеней</w:t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1</w:t>
            </w:r>
          </w:p>
        </w:tc>
        <w:tc>
          <w:tcPr>
            <w:tcW w:w="62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Территориальная избирательная комиссия Горячеключевская</w:t>
            </w:r>
          </w:p>
        </w:tc>
        <w:tc>
          <w:tcPr>
            <w:tcW w:w="23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7920</w:t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2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Итого</w:t>
            </w:r>
          </w:p>
        </w:tc>
        <w:tc>
          <w:tcPr>
            <w:tcW w:w="23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7920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lineRule="auto" w:line="360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</w:r>
    </w:p>
    <w:p>
      <w:pPr>
        <w:pStyle w:val="Normal"/>
        <w:widowControl w:val="false"/>
        <w:spacing w:lineRule="auto" w:line="276"/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</w:r>
    </w:p>
    <w:tbl>
      <w:tblPr>
        <w:tblW w:w="978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9566"/>
        <w:gridCol w:w="222"/>
      </w:tblGrid>
      <w:tr>
        <w:trPr>
          <w:trHeight w:val="1260" w:hRule="atLeast"/>
        </w:trPr>
        <w:tc>
          <w:tcPr>
            <w:tcW w:w="9566" w:type="dxa"/>
            <w:tcBorders/>
          </w:tcPr>
          <w:p>
            <w:pPr>
              <w:pStyle w:val="Normal"/>
              <w:jc w:val="left"/>
              <w:rPr>
                <w:rFonts w:eastAsia="Times New Roman"/>
                <w:b/>
                <w:szCs w:val="28"/>
                <w:lang w:eastAsia="ru-RU"/>
              </w:rPr>
            </w:pPr>
            <w:r>
              <w:rPr>
                <w:rFonts w:eastAsia="Times New Roman"/>
                <w:b/>
                <w:szCs w:val="28"/>
                <w:lang w:eastAsia="ru-RU"/>
              </w:rPr>
            </w:r>
          </w:p>
        </w:tc>
        <w:tc>
          <w:tcPr>
            <w:tcW w:w="222" w:type="dxa"/>
            <w:tcBorders/>
          </w:tcPr>
          <w:p>
            <w:pPr>
              <w:pStyle w:val="Normal"/>
              <w:jc w:val="lef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</w:r>
          </w:p>
        </w:tc>
      </w:tr>
    </w:tbl>
    <w:p>
      <w:pPr>
        <w:pStyle w:val="Normal"/>
        <w:jc w:val="left"/>
        <w:rPr>
          <w:rFonts w:eastAsia="Times New Roman"/>
          <w:szCs w:val="20"/>
          <w:lang w:eastAsia="ru-RU"/>
        </w:rPr>
      </w:pPr>
      <w:r>
        <w:rPr>
          <w:rFonts w:eastAsia="Times New Roman"/>
          <w:szCs w:val="20"/>
          <w:lang w:eastAsia="ru-RU"/>
        </w:rPr>
      </w:r>
    </w:p>
    <w:p>
      <w:pPr>
        <w:pStyle w:val="22"/>
        <w:shd w:val="clear" w:color="auto" w:fill="auto"/>
        <w:spacing w:lineRule="auto" w:line="240" w:before="0" w:after="0"/>
        <w:ind w:hang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850" w:gutter="0" w:header="0" w:top="851" w:footer="0" w:bottom="70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uiPriority="0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61aff"/>
    <w:pPr>
      <w:widowControl/>
      <w:suppressAutoHyphens w:val="true"/>
      <w:bidi w:val="0"/>
      <w:spacing w:before="0" w:after="0"/>
      <w:jc w:val="both"/>
    </w:pPr>
    <w:rPr>
      <w:rFonts w:ascii="Times New Roman" w:hAnsi="Times New Roman" w:eastAsia="Calibri" w:cs="Times New Roman"/>
      <w:color w:val="auto"/>
      <w:kern w:val="0"/>
      <w:sz w:val="28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Заголовок Знак"/>
    <w:qFormat/>
    <w:rsid w:val="001417fa"/>
    <w:rPr>
      <w:rFonts w:ascii="Times New Roman" w:hAnsi="Times New Roman" w:eastAsia="Times New Roman" w:cs="Times New Roman"/>
      <w:b/>
      <w:sz w:val="40"/>
      <w:szCs w:val="20"/>
      <w:lang w:eastAsia="ru-RU"/>
    </w:rPr>
  </w:style>
  <w:style w:type="character" w:styleId="Style15" w:customStyle="1">
    <w:name w:val="Основной текст_"/>
    <w:link w:val="22"/>
    <w:qFormat/>
    <w:rsid w:val="001417fa"/>
    <w:rPr>
      <w:rFonts w:eastAsia="Times New Roman"/>
      <w:sz w:val="26"/>
      <w:szCs w:val="26"/>
      <w:shd w:fill="FFFFFF" w:val="clear"/>
    </w:rPr>
  </w:style>
  <w:style w:type="character" w:styleId="Style16" w:customStyle="1">
    <w:name w:val="Основной текст с отступом Знак"/>
    <w:qFormat/>
    <w:rsid w:val="00111c32"/>
    <w:rPr>
      <w:rFonts w:ascii="Times New Roman" w:hAnsi="Times New Roman" w:eastAsia="Times New Roman"/>
      <w:sz w:val="24"/>
      <w:szCs w:val="24"/>
    </w:rPr>
  </w:style>
  <w:style w:type="character" w:styleId="2" w:customStyle="1">
    <w:name w:val="Основной текст 2 Знак"/>
    <w:link w:val="BodyText2"/>
    <w:qFormat/>
    <w:rsid w:val="00111c32"/>
    <w:rPr>
      <w:rFonts w:ascii="Times New Roman" w:hAnsi="Times New Roman" w:eastAsia="Times New Roman"/>
      <w:sz w:val="24"/>
      <w:szCs w:val="24"/>
    </w:rPr>
  </w:style>
  <w:style w:type="character" w:styleId="Style17" w:customStyle="1">
    <w:name w:val="Основной текст Знак"/>
    <w:qFormat/>
    <w:rsid w:val="00111c32"/>
    <w:rPr>
      <w:rFonts w:ascii="Times New Roman" w:hAnsi="Times New Roman" w:eastAsia="Times New Roman"/>
      <w:bCs/>
      <w:sz w:val="28"/>
      <w:szCs w:val="24"/>
    </w:rPr>
  </w:style>
  <w:style w:type="character" w:styleId="Style18" w:customStyle="1">
    <w:name w:val="Текст выноски Знак"/>
    <w:link w:val="BalloonText"/>
    <w:uiPriority w:val="99"/>
    <w:semiHidden/>
    <w:qFormat/>
    <w:rsid w:val="008a431f"/>
    <w:rPr>
      <w:rFonts w:ascii="Segoe UI" w:hAnsi="Segoe UI" w:cs="Segoe UI"/>
      <w:sz w:val="18"/>
      <w:szCs w:val="18"/>
      <w:lang w:eastAsia="en-US"/>
    </w:rPr>
  </w:style>
  <w:style w:type="character" w:styleId="21" w:customStyle="1">
    <w:name w:val="Основной текст с отступом 2 Знак"/>
    <w:basedOn w:val="DefaultParagraphFont"/>
    <w:link w:val="BodyTextIndent2"/>
    <w:qFormat/>
    <w:rsid w:val="00d5417c"/>
    <w:rPr>
      <w:rFonts w:ascii="Times New Roman" w:hAnsi="Times New Roman" w:eastAsia="Calibri" w:eastAsiaTheme="minorHAnsi"/>
      <w:sz w:val="28"/>
      <w:szCs w:val="22"/>
      <w:lang w:eastAsia="en-US"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link w:val="Style17"/>
    <w:unhideWhenUsed/>
    <w:rsid w:val="00111c32"/>
    <w:pPr>
      <w:spacing w:before="0" w:after="120"/>
      <w:jc w:val="left"/>
    </w:pPr>
    <w:rPr>
      <w:rFonts w:eastAsia="Times New Roman"/>
      <w:bCs/>
      <w:szCs w:val="24"/>
      <w:lang w:eastAsia="ru-RU"/>
    </w:rPr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Normal"/>
    <w:link w:val="Style14"/>
    <w:qFormat/>
    <w:rsid w:val="001417fa"/>
    <w:pPr>
      <w:jc w:val="center"/>
    </w:pPr>
    <w:rPr>
      <w:rFonts w:eastAsia="Times New Roman"/>
      <w:b/>
      <w:sz w:val="40"/>
      <w:szCs w:val="20"/>
      <w:lang w:eastAsia="ru-RU"/>
    </w:rPr>
  </w:style>
  <w:style w:type="paragraph" w:styleId="22" w:customStyle="1">
    <w:name w:val="Основной текст2"/>
    <w:basedOn w:val="Normal"/>
    <w:link w:val="Style15"/>
    <w:qFormat/>
    <w:rsid w:val="001417fa"/>
    <w:pPr>
      <w:widowControl w:val="false"/>
      <w:shd w:val="clear" w:color="auto" w:fill="FFFFFF"/>
      <w:spacing w:lineRule="atLeast" w:line="0" w:before="60" w:after="360"/>
      <w:ind w:hanging="560"/>
    </w:pPr>
    <w:rPr>
      <w:rFonts w:ascii="Calibri" w:hAnsi="Calibri" w:eastAsia="Times New Roman"/>
      <w:sz w:val="26"/>
      <w:szCs w:val="26"/>
    </w:rPr>
  </w:style>
  <w:style w:type="paragraph" w:styleId="BodyTextIndent">
    <w:name w:val="Body Text Indent"/>
    <w:basedOn w:val="Normal"/>
    <w:link w:val="Style16"/>
    <w:unhideWhenUsed/>
    <w:rsid w:val="00111c32"/>
    <w:pPr>
      <w:spacing w:before="0" w:after="120"/>
      <w:ind w:left="283"/>
      <w:jc w:val="left"/>
    </w:pPr>
    <w:rPr>
      <w:rFonts w:eastAsia="Times New Roman"/>
      <w:sz w:val="24"/>
      <w:szCs w:val="24"/>
      <w:lang w:eastAsia="ru-RU"/>
    </w:rPr>
  </w:style>
  <w:style w:type="paragraph" w:styleId="BodyText2">
    <w:name w:val="Body Text 2"/>
    <w:basedOn w:val="Normal"/>
    <w:link w:val="2"/>
    <w:qFormat/>
    <w:rsid w:val="00111c32"/>
    <w:pPr>
      <w:spacing w:lineRule="auto" w:line="480" w:before="0" w:after="120"/>
      <w:jc w:val="left"/>
    </w:pPr>
    <w:rPr>
      <w:rFonts w:eastAsia="Times New Roman"/>
      <w:sz w:val="24"/>
      <w:szCs w:val="24"/>
      <w:lang w:eastAsia="ru-RU"/>
    </w:rPr>
  </w:style>
  <w:style w:type="paragraph" w:styleId="BalloonText">
    <w:name w:val="Balloon Text"/>
    <w:basedOn w:val="Normal"/>
    <w:link w:val="Style18"/>
    <w:uiPriority w:val="99"/>
    <w:semiHidden/>
    <w:unhideWhenUsed/>
    <w:qFormat/>
    <w:rsid w:val="008a431f"/>
    <w:pPr/>
    <w:rPr>
      <w:rFonts w:ascii="Segoe UI" w:hAnsi="Segoe UI" w:cs="Segoe UI"/>
      <w:sz w:val="18"/>
      <w:szCs w:val="18"/>
    </w:rPr>
  </w:style>
  <w:style w:type="paragraph" w:styleId="BodyTextIndent2">
    <w:name w:val="Body Text Indent 2"/>
    <w:basedOn w:val="Normal"/>
    <w:link w:val="21"/>
    <w:unhideWhenUsed/>
    <w:qFormat/>
    <w:rsid w:val="00d5417c"/>
    <w:pPr>
      <w:spacing w:lineRule="auto" w:line="480" w:before="0" w:after="120"/>
      <w:ind w:left="283"/>
    </w:pPr>
    <w:rPr>
      <w:rFonts w:eastAsia="Calibri" w:eastAsiaTheme="minorHAnsi"/>
    </w:rPr>
  </w:style>
  <w:style w:type="paragraph" w:styleId="ListParagraph">
    <w:name w:val="List Paragraph"/>
    <w:basedOn w:val="Normal"/>
    <w:uiPriority w:val="34"/>
    <w:qFormat/>
    <w:rsid w:val="0063417b"/>
    <w:pPr>
      <w:spacing w:before="0" w:after="0"/>
      <w:ind w:left="720"/>
      <w:contextualSpacing/>
    </w:pPr>
    <w:rPr/>
  </w:style>
  <w:style w:type="paragraph" w:styleId="14-15" w:customStyle="1">
    <w:name w:val="14-15"/>
    <w:basedOn w:val="Normal"/>
    <w:qFormat/>
    <w:rsid w:val="009e2239"/>
    <w:pPr>
      <w:widowControl w:val="false"/>
      <w:spacing w:lineRule="auto" w:line="360"/>
      <w:ind w:firstLine="720"/>
    </w:pPr>
    <w:rPr>
      <w:rFonts w:eastAsia="Times New Roman"/>
      <w:spacing w:val="4"/>
      <w:szCs w:val="20"/>
      <w:lang w:eastAsia="ru-RU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Normal"/>
    <w:pPr>
      <w:tabs>
        <w:tab w:val="clear" w:pos="708"/>
        <w:tab w:val="center" w:pos="4153" w:leader="none"/>
        <w:tab w:val="right" w:pos="8306" w:leader="none"/>
      </w:tabs>
      <w:ind w:firstLine="720" w:left="0" w:right="0"/>
      <w:jc w:val="both"/>
    </w:pPr>
    <w:rPr>
      <w:sz w:val="28"/>
      <w:szCs w:val="20"/>
    </w:rPr>
  </w:style>
  <w:style w:type="paragraph" w:styleId="Style21">
    <w:name w:val="Содержимое таблицы"/>
    <w:basedOn w:val="Normal"/>
    <w:qFormat/>
    <w:pPr>
      <w:widowControl w:val="false"/>
      <w:suppressLineNumbers/>
    </w:pPr>
    <w:rPr/>
  </w:style>
  <w:style w:type="paragraph" w:styleId="Style22">
    <w:name w:val="Заголовок таблицы"/>
    <w:basedOn w:val="Style21"/>
    <w:qFormat/>
    <w:pPr>
      <w:suppressLineNumbers/>
      <w:jc w:val="center"/>
    </w:pPr>
    <w:rPr>
      <w:b/>
      <w:bCs/>
    </w:rPr>
  </w:style>
  <w:style w:type="numbering" w:styleId="Style23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rsid w:val="00d5417c"/>
    <w:pPr>
      <w:jc w:val="both"/>
    </w:pPr>
    <w:rPr>
      <w:rFonts w:eastAsiaTheme="minorHAnsi"/>
      <w:lang w:eastAsia="en-US"/>
      <w:sz w:val="28"/>
      <w:szCs w:val="22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1">
    <w:name w:val="Сетка таблицы1"/>
    <w:basedOn w:val="a1"/>
    <w:uiPriority w:val="59"/>
    <w:rsid w:val="00832d22"/>
    <w:pPr>
      <w:jc w:val="both"/>
    </w:pPr>
    <w:rPr>
      <w:rFonts w:eastAsiaTheme="minorHAnsi"/>
      <w:lang w:eastAsia="en-US"/>
      <w:sz w:val="28"/>
      <w:szCs w:val="22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24">
    <w:name w:val="Сетка таблицы2"/>
    <w:basedOn w:val="a1"/>
    <w:rsid w:val="00b86bd8"/>
    <w:pPr>
      <w:jc w:val="both"/>
    </w:pPr>
    <w:rPr>
      <w:rFonts w:eastAsiaTheme="minorHAnsi"/>
      <w:lang w:eastAsia="en-US"/>
      <w:sz w:val="28"/>
      <w:szCs w:val="22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60D296-91D9-4CD2-B8BD-4A10DBF5E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Application>LibreOffice/24.2.7.2$Linux_X86_64 LibreOffice_project/420$Build-2</Application>
  <AppVersion>15.0000</AppVersion>
  <Pages>3</Pages>
  <Words>825</Words>
  <Characters>4704</Characters>
  <CharactersWithSpaces>5518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2024-03-09T10:16:00Z</dcterms:created>
  <dc:creator>Пользователь Windows</dc:creator>
  <dc:description/>
  <dc:language>ru-RU</dc:language>
  <cp:lastModifiedBy/>
  <cp:lastPrinted>2024-03-11T18:08:00Z</cp:lastPrinted>
  <dcterms:modified xsi:type="dcterms:W3CDTF">2026-09-11T15:31:36Z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