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2"/>
        </w:rPr>
      </w:pPr>
      <w:r>
        <w:rPr>
          <w:b/>
          <w:sz w:val="32"/>
        </w:rPr>
        <w:t>Территориальная избирательная комиссия</w:t>
      </w:r>
    </w:p>
    <w:p>
      <w:pPr>
        <w:pStyle w:val="Normal"/>
        <w:jc w:val="center"/>
        <w:rPr>
          <w:b/>
          <w:sz w:val="32"/>
        </w:rPr>
      </w:pPr>
      <w:r>
        <w:rPr>
          <w:b/>
          <w:sz w:val="32"/>
        </w:rPr>
        <w:t>Горячеключевская</w:t>
      </w:r>
    </w:p>
    <w:p>
      <w:pPr>
        <w:pStyle w:val="Normal"/>
        <w:jc w:val="center"/>
        <w:rPr>
          <w:szCs w:val="28"/>
          <w:lang w:val="en-US"/>
        </w:rPr>
      </w:pPr>
      <w:r>
        <w:rPr>
          <w:szCs w:val="28"/>
          <w:lang w:val="en-US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8"/>
        <w:gridCol w:w="4309"/>
        <w:gridCol w:w="4685"/>
        <w:gridCol w:w="469"/>
      </w:tblGrid>
      <w:tr>
        <w:trPr>
          <w:trHeight w:val="100" w:hRule="atLeast"/>
        </w:trPr>
        <w:tc>
          <w:tcPr>
            <w:tcW w:w="108" w:type="dxa"/>
            <w:tcBorders/>
          </w:tcPr>
          <w:p>
            <w:pPr>
              <w:pStyle w:val="Normal"/>
              <w:widowControl w:val="false"/>
              <w:jc w:val="center"/>
              <w:rPr>
                <w:sz w:val="10"/>
              </w:rPr>
            </w:pPr>
            <w:r>
              <w:rPr>
                <w:sz w:val="10"/>
              </w:rPr>
            </w:r>
          </w:p>
        </w:tc>
        <w:tc>
          <w:tcPr>
            <w:tcW w:w="8994" w:type="dxa"/>
            <w:gridSpan w:val="2"/>
            <w:tcBorders>
              <w:top w:val="thinThickLargeGap" w:sz="2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0"/>
              </w:rPr>
            </w:pPr>
            <w:r>
              <w:rPr>
                <w:sz w:val="10"/>
              </w:rPr>
            </w:r>
          </w:p>
          <w:p>
            <w:pPr>
              <w:pStyle w:val="Normal"/>
              <w:widowControl w:val="false"/>
              <w:jc w:val="center"/>
              <w:rPr>
                <w:sz w:val="10"/>
              </w:rPr>
            </w:pPr>
            <w:r>
              <w:rPr>
                <w:sz w:val="10"/>
              </w:rPr>
            </w:r>
          </w:p>
          <w:p>
            <w:pPr>
              <w:pStyle w:val="Heading1"/>
              <w:widowControl w:val="false"/>
              <w:rPr>
                <w:sz w:val="32"/>
              </w:rPr>
            </w:pPr>
            <w:r>
              <w:rPr>
                <w:sz w:val="32"/>
              </w:rPr>
              <w:t>РЕШЕНИЕ</w:t>
            </w:r>
          </w:p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69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417" w:type="dxa"/>
            <w:gridSpan w:val="2"/>
            <w:tcBorders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«</w:t>
            </w:r>
            <w:r>
              <w:rPr>
                <w:color w:val="000000"/>
                <w:sz w:val="28"/>
                <w:szCs w:val="24"/>
                <w:shd w:fill="auto" w:val="clear"/>
              </w:rPr>
              <w:t>6</w:t>
            </w:r>
            <w:r>
              <w:rPr>
                <w:shd w:fill="auto" w:val="clear"/>
              </w:rPr>
              <w:t>» сентября</w:t>
            </w:r>
            <w:r>
              <w:rPr>
                <w:color w:val="000000"/>
                <w:sz w:val="28"/>
                <w:szCs w:val="24"/>
                <w:shd w:fill="auto" w:val="clear"/>
              </w:rPr>
              <w:t xml:space="preserve"> </w:t>
            </w:r>
            <w:r>
              <w:rPr>
                <w:shd w:fill="auto" w:val="clear"/>
              </w:rPr>
              <w:t>202</w:t>
            </w:r>
            <w:r>
              <w:rPr>
                <w:color w:val="000000"/>
                <w:sz w:val="28"/>
                <w:szCs w:val="24"/>
                <w:shd w:fill="auto" w:val="clear"/>
              </w:rPr>
              <w:t xml:space="preserve">6 </w:t>
            </w:r>
            <w:r>
              <w:rPr>
                <w:shd w:fill="auto" w:val="clear"/>
              </w:rPr>
              <w:t>года</w:t>
            </w:r>
          </w:p>
        </w:tc>
        <w:tc>
          <w:tcPr>
            <w:tcW w:w="5154" w:type="dxa"/>
            <w:gridSpan w:val="2"/>
            <w:tcBorders/>
          </w:tcPr>
          <w:p>
            <w:pPr>
              <w:pStyle w:val="Normal"/>
              <w:widowControl w:val="false"/>
              <w:jc w:val="right"/>
              <w:rPr>
                <w:highlight w:val="none"/>
                <w:shd w:fill="FFFF00" w:val="clear"/>
              </w:rPr>
            </w:pPr>
            <w:r>
              <w:rPr>
                <w:shd w:fill="auto" w:val="clear"/>
              </w:rPr>
              <w:t>№</w:t>
            </w:r>
            <w:r>
              <w:rPr>
                <w:shd w:fill="auto" w:val="clear"/>
              </w:rPr>
              <w:t>19/114-6</w:t>
            </w:r>
          </w:p>
        </w:tc>
      </w:tr>
      <w:tr>
        <w:trPr/>
        <w:tc>
          <w:tcPr>
            <w:tcW w:w="4417" w:type="dxa"/>
            <w:gridSpan w:val="2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154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sz w:val="24"/>
        </w:rPr>
      </w:pPr>
      <w:r>
        <w:rPr>
          <w:sz w:val="24"/>
        </w:rPr>
      </w:r>
    </w:p>
    <w:tbl>
      <w:tblPr>
        <w:tblW w:w="92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286"/>
      </w:tblGrid>
      <w:tr>
        <w:trPr/>
        <w:tc>
          <w:tcPr>
            <w:tcW w:w="9286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ind w:hanging="0"/>
              <w:jc w:val="center"/>
              <w:rPr>
                <w:b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b/>
                <w:bCs/>
                <w:i w:val="false"/>
                <w:iCs w:val="false"/>
                <w:color w:val="000000"/>
                <w:sz w:val="28"/>
                <w:szCs w:val="28"/>
              </w:rPr>
              <w:t xml:space="preserve">Об уполномоченных территориальной избирательной комиссии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kern w:val="0"/>
                <w:sz w:val="28"/>
                <w:szCs w:val="28"/>
                <w:lang w:val="ru-RU" w:eastAsia="ru-RU" w:bidi="ar-SA"/>
              </w:rPr>
              <w:t>Горячеключевская</w:t>
            </w:r>
            <w:r>
              <w:rPr>
                <w:b/>
                <w:bCs/>
                <w:i w:val="false"/>
                <w:iCs w:val="false"/>
                <w:color w:val="000000"/>
                <w:sz w:val="28"/>
                <w:szCs w:val="28"/>
              </w:rPr>
              <w:t xml:space="preserve"> по составлению протоколов об административных правонарушениях за нарушения законодательства</w:t>
            </w:r>
          </w:p>
          <w:p>
            <w:pPr>
              <w:pStyle w:val="BodyText"/>
              <w:widowControl w:val="false"/>
              <w:spacing w:lineRule="auto" w:line="240" w:before="0" w:after="0"/>
              <w:ind w:hanging="0"/>
              <w:jc w:val="center"/>
              <w:rPr>
                <w:b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b/>
                <w:bCs/>
                <w:i w:val="false"/>
                <w:iCs w:val="false"/>
                <w:color w:val="000000"/>
                <w:sz w:val="28"/>
                <w:szCs w:val="28"/>
              </w:rPr>
              <w:t>Российской Федерации</w:t>
            </w:r>
          </w:p>
        </w:tc>
      </w:tr>
    </w:tbl>
    <w:p>
      <w:pPr>
        <w:pStyle w:val="Normal"/>
        <w:ind w:firstLine="851"/>
        <w:rPr>
          <w:sz w:val="4"/>
        </w:rPr>
      </w:pPr>
      <w:r>
        <w:rPr>
          <w:sz w:val="4"/>
        </w:rPr>
      </w:r>
    </w:p>
    <w:p>
      <w:pPr>
        <w:pStyle w:val="Heading1"/>
        <w:ind w:firstLine="993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36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соответствии с пунктом 21</w:t>
      </w:r>
      <w:r>
        <w:rPr>
          <w:rFonts w:eastAsia="Calibri"/>
          <w:sz w:val="28"/>
          <w:szCs w:val="28"/>
          <w:vertAlign w:val="superscript"/>
        </w:rPr>
        <w:t>2</w:t>
      </w:r>
      <w:r>
        <w:rPr>
          <w:rFonts w:eastAsia="Calibri"/>
          <w:sz w:val="28"/>
          <w:szCs w:val="28"/>
        </w:rPr>
        <w:t xml:space="preserve"> статьи 29 Федерального закона от 12 июня 2002 г. № 67-ФЗ «Об основных гарантиях избирательных прав и права на участие в референдуме граждан Российской Федерации», руководствуясь пунктом 1 части 5 статьи 28.3 Кодекса Российской Федерации об административных правонарушениях, </w:t>
      </w:r>
      <w:r>
        <w:rPr>
          <w:sz w:val="28"/>
          <w:szCs w:val="28"/>
        </w:rPr>
        <w:t xml:space="preserve">территориальная </w:t>
      </w:r>
      <w:r>
        <w:rPr>
          <w:rFonts w:eastAsia="Calibri"/>
          <w:sz w:val="28"/>
          <w:szCs w:val="28"/>
        </w:rPr>
        <w:t xml:space="preserve">избирательная комиссия 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Горячеключевская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РЕШИЛА</w:t>
      </w:r>
      <w:r>
        <w:rPr>
          <w:rFonts w:eastAsia="Calibri"/>
          <w:sz w:val="28"/>
          <w:szCs w:val="28"/>
        </w:rPr>
        <w:t>:</w:t>
      </w:r>
    </w:p>
    <w:p>
      <w:pPr>
        <w:pStyle w:val="Normal"/>
        <w:spacing w:lineRule="auto" w:line="36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Уполномочить членов </w:t>
      </w:r>
      <w:r>
        <w:rPr>
          <w:sz w:val="28"/>
          <w:szCs w:val="28"/>
        </w:rPr>
        <w:t xml:space="preserve">территориальной </w:t>
      </w:r>
      <w:r>
        <w:rPr>
          <w:rFonts w:eastAsia="Calibri"/>
          <w:sz w:val="28"/>
          <w:szCs w:val="28"/>
        </w:rPr>
        <w:t xml:space="preserve">избирательной комиссии 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Горячеключевская</w:t>
      </w:r>
      <w:r>
        <w:rPr>
          <w:rFonts w:eastAsia="Calibri"/>
          <w:sz w:val="28"/>
          <w:szCs w:val="28"/>
        </w:rPr>
        <w:t xml:space="preserve"> с правом решающего голоса,</w:t>
      </w:r>
      <w:r>
        <w:rPr>
          <w:bCs/>
          <w:sz w:val="28"/>
          <w:szCs w:val="28"/>
          <w:shd w:fill="auto" w:val="clear"/>
        </w:rPr>
        <w:t xml:space="preserve"> </w:t>
      </w:r>
      <w:r>
        <w:rPr>
          <w:rFonts w:eastAsia="Times New Roman" w:cs="Times New Roman"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>Шаталову Юлию Олеговну</w:t>
      </w:r>
      <w:r>
        <w:rPr>
          <w:bCs/>
          <w:sz w:val="28"/>
          <w:szCs w:val="28"/>
          <w:shd w:fill="auto" w:val="clear"/>
        </w:rPr>
        <w:t xml:space="preserve">, </w:t>
      </w:r>
      <w:r>
        <w:rPr>
          <w:rFonts w:eastAsia="Times New Roman" w:cs="Times New Roman"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>Лищишина Ярослава Степановича</w:t>
      </w:r>
      <w:r>
        <w:rPr>
          <w:sz w:val="28"/>
          <w:szCs w:val="28"/>
          <w:shd w:fill="auto" w:val="clear"/>
        </w:rPr>
        <w:t xml:space="preserve">, </w:t>
      </w: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Ювженко Дмитрия Александровича</w:t>
      </w:r>
      <w:r>
        <w:rPr>
          <w:i/>
          <w:sz w:val="28"/>
          <w:szCs w:val="28"/>
          <w:shd w:fill="auto" w:val="clear"/>
        </w:rPr>
        <w:t xml:space="preserve"> </w:t>
      </w:r>
      <w:r>
        <w:rPr>
          <w:rFonts w:eastAsia="Calibri"/>
          <w:sz w:val="28"/>
          <w:szCs w:val="28"/>
        </w:rPr>
        <w:t xml:space="preserve">на составление протоколов об административных правонарушениях, предусмотренных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"/document/12125267/entry/53"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статьями 5.3 - 5.5</w:t>
      </w:r>
      <w:r>
        <w:rPr>
          <w:rStyle w:val="ListLabel1"/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"/document/12125267/entry/58"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5.8 - 5.10</w:t>
      </w:r>
      <w:r>
        <w:rPr>
          <w:rStyle w:val="ListLabel1"/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"/document/12125267/entry/512"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5.12</w:t>
      </w:r>
      <w:r>
        <w:rPr>
          <w:rStyle w:val="ListLabel1"/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"/document/12125267/entry/515"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5.15</w:t>
      </w:r>
      <w:r>
        <w:rPr>
          <w:rStyle w:val="ListLabel1"/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"/document/12125267/entry/517"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5.17 - 5.20</w:t>
      </w:r>
      <w:r>
        <w:rPr>
          <w:rStyle w:val="ListLabel1"/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"/document/12125267/entry/547"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5.47</w:t>
      </w:r>
      <w:r>
        <w:rPr>
          <w:rStyle w:val="ListLabel1"/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"/document/12125267/entry/550"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5.50</w:t>
      </w:r>
      <w:r>
        <w:rPr>
          <w:rStyle w:val="ListLabel1"/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"/document/12125267/entry/551"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5.51</w:t>
      </w:r>
      <w:r>
        <w:rPr>
          <w:rStyle w:val="ListLabel1"/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"/document/12125267/entry/556"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5.56</w:t>
      </w:r>
      <w:r>
        <w:rPr>
          <w:rStyle w:val="ListLabel1"/>
          <w:sz w:val="28"/>
          <w:szCs w:val="28"/>
        </w:rPr>
        <w:fldChar w:fldCharType="end"/>
      </w:r>
      <w:r>
        <w:rPr>
          <w:sz w:val="28"/>
          <w:szCs w:val="28"/>
        </w:rPr>
        <w:t xml:space="preserve">, </w:t>
      </w:r>
      <w:r>
        <w:fldChar w:fldCharType="begin"/>
      </w:r>
      <w:r>
        <w:rPr>
          <w:rStyle w:val="ListLabel1"/>
          <w:sz w:val="28"/>
          <w:szCs w:val="28"/>
        </w:rPr>
        <w:instrText xml:space="preserve"> HYPERLINK "http://s1:82/" \l "/document/12125267/entry/564"</w:instrText>
      </w:r>
      <w:r>
        <w:rPr>
          <w:rStyle w:val="ListLabel1"/>
          <w:sz w:val="28"/>
          <w:szCs w:val="28"/>
        </w:rPr>
        <w:fldChar w:fldCharType="separate"/>
      </w:r>
      <w:r>
        <w:rPr>
          <w:rStyle w:val="ListLabel1"/>
          <w:sz w:val="28"/>
          <w:szCs w:val="28"/>
        </w:rPr>
        <w:t>5.64 - 5.68</w:t>
      </w:r>
      <w:r>
        <w:rPr>
          <w:rStyle w:val="ListLabel1"/>
          <w:sz w:val="28"/>
          <w:szCs w:val="28"/>
        </w:rPr>
        <w:fldChar w:fldCharType="end"/>
      </w:r>
      <w:r>
        <w:rPr>
          <w:rFonts w:eastAsia="Calibri"/>
          <w:sz w:val="28"/>
          <w:szCs w:val="28"/>
        </w:rPr>
        <w:t xml:space="preserve"> Кодекса Российской Федерации об административных правонарушениях при проведении выборов на территории</w:t>
      </w:r>
      <w:r>
        <w:rPr>
          <w:rFonts w:eastAsia="Calibri"/>
          <w:i/>
          <w:sz w:val="28"/>
          <w:szCs w:val="28"/>
        </w:rPr>
        <w:t xml:space="preserve"> </w:t>
      </w:r>
      <w:r>
        <w:rPr>
          <w:rFonts w:eastAsia="Calibri"/>
          <w:i w:val="false"/>
          <w:iCs w:val="false"/>
          <w:sz w:val="28"/>
          <w:szCs w:val="28"/>
        </w:rPr>
        <w:t xml:space="preserve">муниципального образования муниципальный округ город Горячий Ключ Краснодарского края. </w:t>
      </w:r>
    </w:p>
    <w:p>
      <w:pPr>
        <w:pStyle w:val="NormalWeb"/>
        <w:shd w:val="clear" w:color="auto" w:fill="FFFFFF"/>
        <w:spacing w:lineRule="auto" w:line="360" w:before="0" w:after="0"/>
        <w:ind w:firstLine="709"/>
        <w:jc w:val="both"/>
        <w:rPr>
          <w:sz w:val="28"/>
          <w:szCs w:val="28"/>
        </w:rPr>
      </w:pPr>
      <w:r>
        <w:rPr>
          <w:i w:val="false"/>
          <w:iCs w:val="false"/>
          <w:sz w:val="28"/>
          <w:szCs w:val="28"/>
        </w:rPr>
        <w:t>2. Разместить настоящее реше</w:t>
      </w:r>
      <w:r>
        <w:rPr>
          <w:sz w:val="28"/>
          <w:szCs w:val="28"/>
        </w:rPr>
        <w:t>ние</w:t>
      </w:r>
      <w:r>
        <w:rPr>
          <w:rFonts w:eastAsia="Times New Roman"/>
          <w:color w:val="000000"/>
          <w:spacing w:val="3"/>
          <w:sz w:val="28"/>
          <w:szCs w:val="28"/>
          <w:lang w:eastAsia="ru-RU"/>
        </w:rPr>
        <w:t xml:space="preserve"> на странице территориальной избирательной комиссии Горячеключевская официального сайта администрации муниципального образования муниципальный округ город Горячий Ключ Краснодарского края в информационно-телекоммуникационной сети «Интернет».</w:t>
      </w:r>
    </w:p>
    <w:p>
      <w:pPr>
        <w:pStyle w:val="NormalWeb"/>
        <w:shd w:val="clear" w:color="auto" w:fill="FFFFFF"/>
        <w:spacing w:lineRule="auto" w:line="36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eastAsia="Times New Roman" w:cs="Times New Roman"/>
          <w:color w:val="000000"/>
          <w:spacing w:val="3"/>
          <w:kern w:val="0"/>
          <w:sz w:val="28"/>
          <w:szCs w:val="28"/>
          <w:lang w:val="ru-RU" w:eastAsia="ru-RU" w:bidi="ar-SA"/>
        </w:rPr>
        <w:t xml:space="preserve">Контроль за выполнением пункта 2 настоящего решения возложить на секретаря территориальной избирательной комиссии Горячеключевская Е.М. Белову. </w:t>
      </w:r>
    </w:p>
    <w:p>
      <w:pPr>
        <w:pStyle w:val="31"/>
        <w:spacing w:lineRule="auto" w:line="240"/>
        <w:ind w:firstLine="902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31"/>
        <w:spacing w:lineRule="auto" w:line="240"/>
        <w:ind w:firstLine="902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Председатель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территориальной избирательной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комиссии Горячеключевская                                                            М.Б. Репещук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Секретарь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/>
        <w:t>территориальной избирательной</w:t>
      </w:r>
    </w:p>
    <w:p>
      <w:pPr>
        <w:pStyle w:val="Footer"/>
        <w:tabs>
          <w:tab w:val="clear" w:pos="4677"/>
          <w:tab w:val="clear" w:pos="9355"/>
          <w:tab w:val="center" w:pos="4153" w:leader="none"/>
          <w:tab w:val="left" w:pos="7088" w:leader="none"/>
          <w:tab w:val="right" w:pos="8306" w:leader="none"/>
        </w:tabs>
        <w:spacing w:lineRule="auto" w:line="360"/>
        <w:ind w:hanging="0" w:left="0" w:right="0"/>
        <w:rPr/>
      </w:pPr>
      <w:r>
        <w:rPr>
          <w:rFonts w:eastAsia="Times New Roman"/>
          <w:szCs w:val="28"/>
          <w:lang w:eastAsia="ru-RU"/>
        </w:rPr>
        <w:t>комиссии Горячеключевская                                                               Е.М. Белова</w:t>
      </w:r>
    </w:p>
    <w:p>
      <w:pPr>
        <w:pStyle w:val="Normal"/>
        <w:widowControl w:val="false"/>
        <w:tabs>
          <w:tab w:val="clear" w:pos="708"/>
          <w:tab w:val="left" w:pos="1197" w:leader="none"/>
        </w:tabs>
        <w:spacing w:before="0" w:after="0"/>
        <w:ind w:left="709"/>
        <w:contextualSpacing/>
        <w:rPr>
          <w:rFonts w:eastAsia="Times New Roman"/>
          <w:color w:val="000000"/>
          <w:spacing w:val="3"/>
          <w:sz w:val="26"/>
          <w:szCs w:val="26"/>
          <w:lang w:eastAsia="ru-RU"/>
        </w:rPr>
      </w:pPr>
      <w:r>
        <w:rPr>
          <w:rFonts w:eastAsia="Times New Roman"/>
          <w:color w:val="000000"/>
          <w:spacing w:val="3"/>
          <w:sz w:val="26"/>
          <w:szCs w:val="26"/>
          <w:lang w:eastAsia="ru-RU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Times New Roman CYR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2225" cy="2222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320" cy="22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7pt;height:1.7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57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d6df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3d6df5"/>
    <w:pPr>
      <w:keepNext w:val="true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d6df5"/>
    <w:pPr>
      <w:keepNext w:val="true"/>
      <w:ind w:firstLine="851"/>
      <w:outlineLvl w:val="1"/>
    </w:pPr>
    <w:rPr>
      <w:color w:val="auto"/>
      <w:sz w:val="24"/>
    </w:rPr>
  </w:style>
  <w:style w:type="paragraph" w:styleId="Heading5">
    <w:name w:val="Heading 5"/>
    <w:basedOn w:val="Normal"/>
    <w:next w:val="Normal"/>
    <w:qFormat/>
    <w:rsid w:val="003d6df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Символ сноски"/>
    <w:qFormat/>
    <w:rPr>
      <w:rFonts w:ascii="Arial" w:hAnsi="Arial"/>
      <w:b/>
      <w:sz w:val="24"/>
      <w:szCs w:val="24"/>
      <w:vertAlign w:val="superscript"/>
    </w:rPr>
  </w:style>
  <w:style w:type="character" w:styleId="FootnoteReference">
    <w:name w:val="Footnote Reference"/>
    <w:rPr>
      <w:rFonts w:ascii="Arial" w:hAnsi="Arial"/>
      <w:b/>
      <w:sz w:val="24"/>
      <w:szCs w:val="24"/>
      <w:vertAlign w:val="superscript"/>
    </w:rPr>
  </w:style>
  <w:style w:type="character" w:styleId="FootnoteCharacters">
    <w:name w:val="Footnote Characters"/>
    <w:semiHidden/>
    <w:qFormat/>
    <w:rsid w:val="003d6df5"/>
    <w:rPr>
      <w:rFonts w:ascii="Arial" w:hAnsi="Arial"/>
      <w:b/>
      <w:sz w:val="24"/>
      <w:szCs w:val="24"/>
      <w:vertAlign w:val="superscript"/>
    </w:rPr>
  </w:style>
  <w:style w:type="character" w:styleId="annotationreference">
    <w:name w:val="annotation reference"/>
    <w:semiHidden/>
    <w:qFormat/>
    <w:rsid w:val="003d6df5"/>
    <w:rPr>
      <w:sz w:val="16"/>
      <w:szCs w:val="16"/>
    </w:rPr>
  </w:style>
  <w:style w:type="character" w:styleId="5" w:customStyle="1">
    <w:name w:val="Заголовок 5 Знак"/>
    <w:semiHidden/>
    <w:qFormat/>
    <w:rsid w:val="003d6df5"/>
    <w:rPr>
      <w:rFonts w:ascii="Calibri" w:hAnsi="Calibri" w:eastAsia="Times New Roman" w:cs="Times New Roman"/>
      <w:b/>
      <w:bCs/>
      <w:i/>
      <w:iCs/>
      <w:color w:val="000000"/>
      <w:sz w:val="26"/>
      <w:szCs w:val="26"/>
    </w:rPr>
  </w:style>
  <w:style w:type="character" w:styleId="PageNumber">
    <w:name w:val="Page Number"/>
    <w:basedOn w:val="DefaultParagraphFont"/>
    <w:semiHidden/>
    <w:qFormat/>
    <w:rsid w:val="003d6df5"/>
    <w:rPr/>
  </w:style>
  <w:style w:type="character" w:styleId="Style12" w:customStyle="1">
    <w:name w:val="Нижний колонтитул Знак"/>
    <w:uiPriority w:val="99"/>
    <w:qFormat/>
    <w:rsid w:val="00b01bca"/>
    <w:rPr>
      <w:color w:val="000000"/>
      <w:sz w:val="28"/>
      <w:szCs w:val="24"/>
    </w:rPr>
  </w:style>
  <w:style w:type="character" w:styleId="1" w:customStyle="1">
    <w:name w:val="Заголовок 1 Знак"/>
    <w:basedOn w:val="DefaultParagraphFont"/>
    <w:qFormat/>
    <w:rsid w:val="00c1605d"/>
    <w:rPr>
      <w:b/>
      <w:bCs/>
      <w:color w:val="000000"/>
      <w:sz w:val="28"/>
      <w:szCs w:val="24"/>
    </w:rPr>
  </w:style>
  <w:style w:type="character" w:styleId="HTML" w:customStyle="1">
    <w:name w:val="Стандартный HTML Знак"/>
    <w:basedOn w:val="DefaultParagraphFont"/>
    <w:uiPriority w:val="99"/>
    <w:qFormat/>
    <w:rsid w:val="001a7b65"/>
    <w:rPr>
      <w:rFonts w:ascii="Courier New" w:hAnsi="Courier New" w:cs="Courier New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paragraph" w:styleId="Style13" w:customStyle="1">
    <w:name w:val="Заголовок"/>
    <w:next w:val="BodyText"/>
    <w:qFormat/>
    <w:rsid w:val="00ae3b89"/>
    <w:pPr>
      <w:widowControl/>
      <w:suppressAutoHyphens w:val="true"/>
      <w:bidi w:val="0"/>
      <w:spacing w:before="0" w:after="0"/>
      <w:jc w:val="left"/>
    </w:pPr>
    <w:rPr>
      <w:rFonts w:ascii="Arial" w:hAnsi="Arial" w:eastAsia="Arial" w:cs="Times New Roman"/>
      <w:b/>
      <w:color w:val="auto"/>
      <w:kern w:val="0"/>
      <w:sz w:val="22"/>
      <w:szCs w:val="20"/>
      <w:lang w:val="ru-RU" w:eastAsia="ar-SA" w:bidi="ar-SA"/>
    </w:rPr>
  </w:style>
  <w:style w:type="paragraph" w:styleId="BodyText">
    <w:name w:val="Body Text"/>
    <w:basedOn w:val="Normal"/>
    <w:semiHidden/>
    <w:rsid w:val="003d6df5"/>
    <w:pPr>
      <w:jc w:val="center"/>
    </w:pPr>
    <w:rPr>
      <w:b/>
      <w:bCs/>
      <w:color w:val="auto"/>
      <w:szCs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BodyTextIndent">
    <w:name w:val="Body Text Indent"/>
    <w:basedOn w:val="Normal"/>
    <w:semiHidden/>
    <w:rsid w:val="003d6df5"/>
    <w:pPr>
      <w:ind w:firstLine="851"/>
    </w:pPr>
    <w:rPr>
      <w:color w:val="auto"/>
      <w:sz w:val="26"/>
    </w:rPr>
  </w:style>
  <w:style w:type="paragraph" w:styleId="FootnoteText">
    <w:name w:val="Footnote Text"/>
    <w:basedOn w:val="Normal"/>
    <w:semiHidden/>
    <w:rsid w:val="003d6df5"/>
    <w:pPr/>
    <w:rPr>
      <w:rFonts w:ascii="Arial" w:hAnsi="Arial"/>
      <w:color w:val="auto"/>
      <w:sz w:val="24"/>
      <w:szCs w:val="20"/>
    </w:rPr>
  </w:style>
  <w:style w:type="paragraph" w:styleId="AnnotationText">
    <w:name w:val="Annotation Text"/>
    <w:basedOn w:val="Normal"/>
    <w:semiHidden/>
    <w:qFormat/>
    <w:rsid w:val="003d6df5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3d6df5"/>
    <w:pPr/>
    <w:rPr>
      <w:b/>
      <w:bCs/>
    </w:rPr>
  </w:style>
  <w:style w:type="paragraph" w:styleId="BalloonText">
    <w:name w:val="Balloon Text"/>
    <w:basedOn w:val="Normal"/>
    <w:semiHidden/>
    <w:qFormat/>
    <w:rsid w:val="003d6df5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semiHidden/>
    <w:qFormat/>
    <w:rsid w:val="003d6df5"/>
    <w:pPr>
      <w:ind w:firstLine="900"/>
      <w:jc w:val="both"/>
    </w:pPr>
    <w:rPr/>
  </w:style>
  <w:style w:type="paragraph" w:styleId="2" w:customStyle="1">
    <w:name w:val="Стиль2"/>
    <w:basedOn w:val="Normal"/>
    <w:qFormat/>
    <w:rsid w:val="003d6df5"/>
    <w:pPr>
      <w:jc w:val="center"/>
    </w:pPr>
    <w:rPr>
      <w:color w:val="auto"/>
      <w:szCs w:val="28"/>
    </w:rPr>
  </w:style>
  <w:style w:type="paragraph" w:styleId="Style15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semiHidden/>
    <w:rsid w:val="003d6df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b01bc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Normal" w:customStyle="1">
    <w:name w:val="ConsNormal"/>
    <w:qFormat/>
    <w:rsid w:val="00ae3b89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Arial" w:cs="Times New Roman"/>
      <w:color w:val="auto"/>
      <w:kern w:val="0"/>
      <w:sz w:val="20"/>
      <w:szCs w:val="20"/>
      <w:lang w:val="ru-RU" w:eastAsia="ar-SA" w:bidi="ar-SA"/>
    </w:rPr>
  </w:style>
  <w:style w:type="paragraph" w:styleId="formattexttopleveltext" w:customStyle="1">
    <w:name w:val="formattext topleveltext"/>
    <w:basedOn w:val="Normal"/>
    <w:qFormat/>
    <w:rsid w:val="00ae3b89"/>
    <w:pPr>
      <w:spacing w:beforeAutospacing="1" w:afterAutospacing="1"/>
    </w:pPr>
    <w:rPr>
      <w:color w:val="auto"/>
      <w:sz w:val="24"/>
    </w:rPr>
  </w:style>
  <w:style w:type="paragraph" w:styleId="HTMLPreformatted">
    <w:name w:val="HTML Preformatted"/>
    <w:basedOn w:val="Normal"/>
    <w:uiPriority w:val="99"/>
    <w:unhideWhenUsed/>
    <w:qFormat/>
    <w:rsid w:val="001a7b65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color w:val="auto"/>
      <w:sz w:val="20"/>
      <w:szCs w:val="20"/>
    </w:rPr>
  </w:style>
  <w:style w:type="paragraph" w:styleId="-1" w:customStyle="1">
    <w:name w:val="Т-1"/>
    <w:basedOn w:val="Normal"/>
    <w:qFormat/>
    <w:rsid w:val="00250412"/>
    <w:pPr>
      <w:spacing w:lineRule="auto" w:line="360"/>
      <w:ind w:firstLine="720"/>
      <w:jc w:val="both"/>
    </w:pPr>
    <w:rPr>
      <w:color w:val="auto"/>
      <w:szCs w:val="20"/>
    </w:rPr>
  </w:style>
  <w:style w:type="paragraph" w:styleId="Style16">
    <w:name w:val="Содержимое врезки"/>
    <w:basedOn w:val="Normal"/>
    <w:qFormat/>
    <w:pPr/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31">
    <w:name w:val="Заголовок №31"/>
    <w:basedOn w:val="Normal"/>
    <w:qFormat/>
    <w:pPr>
      <w:shd w:val="clear" w:color="auto" w:fill="FFFFFF"/>
      <w:spacing w:lineRule="atLeast" w:line="240"/>
      <w:outlineLvl w:val="2"/>
    </w:pPr>
    <w:rPr>
      <w:b/>
      <w:bCs/>
      <w:sz w:val="28"/>
      <w:szCs w:val="28"/>
    </w:rPr>
  </w:style>
  <w:style w:type="paragraph" w:styleId="NormalWeb">
    <w:name w:val="Normal (Web)"/>
    <w:basedOn w:val="Normal"/>
    <w:qFormat/>
    <w:pPr>
      <w:spacing w:before="120" w:after="216"/>
    </w:pPr>
    <w:rPr/>
  </w:style>
  <w:style w:type="paragraph" w:styleId="Subtitle">
    <w:name w:val="Subtitle"/>
    <w:basedOn w:val="Normal"/>
    <w:qFormat/>
    <w:pPr>
      <w:ind w:hanging="0" w:left="4320"/>
      <w:jc w:val="center"/>
    </w:pPr>
    <w:rPr>
      <w:sz w:val="28"/>
      <w:szCs w:val="20"/>
    </w:rPr>
  </w:style>
  <w:style w:type="paragraph" w:styleId="Style19">
    <w:name w:val="Документ ИКСО"/>
    <w:basedOn w:val="Normal"/>
    <w:qFormat/>
    <w:pPr>
      <w:spacing w:lineRule="auto" w:line="360"/>
      <w:ind w:firstLine="709"/>
      <w:jc w:val="both"/>
    </w:pPr>
    <w:rPr>
      <w:rFonts w:ascii="Times New Roman CYR" w:hAnsi="Times New Roman CYR"/>
      <w:sz w:val="28"/>
      <w:szCs w:val="28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Application>LibreOffice/24.2.7.2$Linux_X86_64 LibreOffice_project/420$Build-2</Application>
  <AppVersion>15.0000</AppVersion>
  <Pages>2</Pages>
  <Words>211</Words>
  <Characters>1656</Characters>
  <CharactersWithSpaces>1939</CharactersWithSpaces>
  <Paragraphs>19</Paragraphs>
  <Company>TIK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2023-03-16T07:21:00Z</dcterms:created>
  <dc:creator>Tanya</dc:creator>
  <dc:description/>
  <dc:language>ru-RU</dc:language>
  <cp:lastModifiedBy/>
  <cp:lastPrinted>2025-06-23T10:40:10Z</cp:lastPrinted>
  <dcterms:modified xsi:type="dcterms:W3CDTF">2026-09-06T14:07:38Z</dcterms:modified>
  <cp:revision>46</cp:revision>
  <dc:subject/>
  <dc:title>Территориальная избирательная комиссия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