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2"/>
        </w:rPr>
      </w:pPr>
      <w:r>
        <w:rPr>
          <w:b/>
          <w:sz w:val="32"/>
        </w:rPr>
        <w:t>Территориальная избирательная комиссия</w:t>
      </w:r>
    </w:p>
    <w:p>
      <w:pPr>
        <w:pStyle w:val="Normal"/>
        <w:jc w:val="center"/>
        <w:rPr>
          <w:b/>
          <w:sz w:val="32"/>
        </w:rPr>
      </w:pPr>
      <w:r>
        <w:rPr>
          <w:b/>
          <w:sz w:val="32"/>
        </w:rPr>
        <w:t>Горячеключевская</w:t>
      </w:r>
    </w:p>
    <w:p>
      <w:pPr>
        <w:pStyle w:val="Normal"/>
        <w:jc w:val="center"/>
        <w:rPr>
          <w:szCs w:val="28"/>
          <w:lang w:val="en-US"/>
        </w:rPr>
      </w:pPr>
      <w:r>
        <w:rPr>
          <w:szCs w:val="28"/>
          <w:lang w:val="en-US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8"/>
        <w:gridCol w:w="4309"/>
        <w:gridCol w:w="4685"/>
        <w:gridCol w:w="469"/>
      </w:tblGrid>
      <w:tr>
        <w:trPr>
          <w:trHeight w:val="100" w:hRule="atLeast"/>
        </w:trPr>
        <w:tc>
          <w:tcPr>
            <w:tcW w:w="108" w:type="dxa"/>
            <w:tcBorders/>
          </w:tcPr>
          <w:p>
            <w:pPr>
              <w:pStyle w:val="Normal"/>
              <w:widowControl w:val="false"/>
              <w:jc w:val="center"/>
              <w:rPr>
                <w:sz w:val="10"/>
              </w:rPr>
            </w:pPr>
            <w:r>
              <w:rPr>
                <w:sz w:val="10"/>
              </w:rPr>
            </w:r>
          </w:p>
        </w:tc>
        <w:tc>
          <w:tcPr>
            <w:tcW w:w="8994" w:type="dxa"/>
            <w:gridSpan w:val="2"/>
            <w:tcBorders>
              <w:top w:val="thinThickLargeGap" w:sz="2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0"/>
              </w:rPr>
            </w:pPr>
            <w:r>
              <w:rPr>
                <w:sz w:val="10"/>
              </w:rPr>
            </w:r>
          </w:p>
          <w:p>
            <w:pPr>
              <w:pStyle w:val="Normal"/>
              <w:widowControl w:val="false"/>
              <w:jc w:val="center"/>
              <w:rPr>
                <w:sz w:val="10"/>
              </w:rPr>
            </w:pPr>
            <w:r>
              <w:rPr>
                <w:sz w:val="10"/>
              </w:rPr>
            </w:r>
          </w:p>
          <w:p>
            <w:pPr>
              <w:pStyle w:val="Heading1"/>
              <w:widowControl w:val="false"/>
              <w:rPr>
                <w:sz w:val="32"/>
              </w:rPr>
            </w:pPr>
            <w:r>
              <w:rPr>
                <w:sz w:val="32"/>
              </w:rPr>
              <w:t>РЕШЕНИЕ</w:t>
            </w:r>
          </w:p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469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417" w:type="dxa"/>
            <w:gridSpan w:val="2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«</w:t>
            </w:r>
            <w:r>
              <w:rPr>
                <w:color w:val="000000"/>
                <w:sz w:val="28"/>
                <w:szCs w:val="24"/>
                <w:shd w:fill="auto" w:val="clear"/>
              </w:rPr>
              <w:t>6</w:t>
            </w:r>
            <w:r>
              <w:rPr>
                <w:shd w:fill="auto" w:val="clear"/>
              </w:rPr>
              <w:t xml:space="preserve">» </w:t>
            </w:r>
            <w:r>
              <w:rPr>
                <w:color w:val="000000"/>
                <w:sz w:val="28"/>
                <w:szCs w:val="24"/>
                <w:shd w:fill="auto" w:val="clear"/>
              </w:rPr>
              <w:t xml:space="preserve">сентября </w:t>
            </w:r>
            <w:r>
              <w:rPr>
                <w:shd w:fill="auto" w:val="clear"/>
              </w:rPr>
              <w:t>202</w:t>
            </w:r>
            <w:r>
              <w:rPr>
                <w:color w:val="000000"/>
                <w:sz w:val="28"/>
                <w:szCs w:val="24"/>
                <w:shd w:fill="auto" w:val="clear"/>
              </w:rPr>
              <w:t>6</w:t>
            </w:r>
            <w:r>
              <w:rPr>
                <w:shd w:fill="auto" w:val="clear"/>
              </w:rPr>
              <w:t xml:space="preserve"> года</w:t>
            </w:r>
          </w:p>
        </w:tc>
        <w:tc>
          <w:tcPr>
            <w:tcW w:w="5154" w:type="dxa"/>
            <w:gridSpan w:val="2"/>
            <w:tcBorders/>
          </w:tcPr>
          <w:p>
            <w:pPr>
              <w:pStyle w:val="Normal"/>
              <w:widowControl w:val="false"/>
              <w:jc w:val="right"/>
              <w:rPr>
                <w:highlight w:val="none"/>
                <w:shd w:fill="FFFF00" w:val="clear"/>
              </w:rPr>
            </w:pPr>
            <w:r>
              <w:rPr>
                <w:shd w:fill="auto" w:val="clear"/>
              </w:rPr>
              <w:t>№</w:t>
            </w:r>
            <w:r>
              <w:rPr>
                <w:shd w:fill="auto" w:val="clear"/>
              </w:rPr>
              <w:t>19/115-6</w:t>
            </w:r>
          </w:p>
        </w:tc>
      </w:tr>
      <w:tr>
        <w:trPr/>
        <w:tc>
          <w:tcPr>
            <w:tcW w:w="4417" w:type="dxa"/>
            <w:gridSpan w:val="2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154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sz w:val="24"/>
        </w:rPr>
      </w:pPr>
      <w:r>
        <w:rPr>
          <w:sz w:val="24"/>
        </w:rPr>
      </w:r>
    </w:p>
    <w:tbl>
      <w:tblPr>
        <w:tblW w:w="92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286"/>
      </w:tblGrid>
      <w:tr>
        <w:trPr/>
        <w:tc>
          <w:tcPr>
            <w:tcW w:w="9286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Рабочей группе для контроля за использованием  </w:t>
            </w:r>
          </w:p>
          <w:p>
            <w:pPr>
              <w:pStyle w:val="Normal"/>
              <w:widowControl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КСА ГАС «Выборы»</w:t>
            </w:r>
          </w:p>
          <w:p>
            <w:pPr>
              <w:pStyle w:val="Normal"/>
              <w:widowControl w:val="false"/>
              <w:jc w:val="center"/>
              <w:rPr>
                <w:b/>
                <w:i/>
                <w:i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при проведении выборов депутатов</w:t>
            </w:r>
            <w:r>
              <w:rPr>
                <w:rFonts w:eastAsia="Times New Roman"/>
                <w:b/>
                <w:bCs/>
                <w:i w:val="false"/>
                <w:iCs w:val="false"/>
                <w:color w:val="000000"/>
                <w:spacing w:val="3"/>
                <w:sz w:val="28"/>
                <w:szCs w:val="28"/>
                <w:lang w:eastAsia="ru-RU"/>
              </w:rPr>
              <w:t xml:space="preserve"> Государственной Думы Федерального Собрания Российской Федерации девятого созыва по федеральному и одномандатному избирательным округам</w:t>
            </w:r>
          </w:p>
        </w:tc>
      </w:tr>
    </w:tbl>
    <w:p>
      <w:pPr>
        <w:pStyle w:val="Normal"/>
        <w:ind w:firstLine="851"/>
        <w:rPr>
          <w:sz w:val="4"/>
        </w:rPr>
      </w:pPr>
      <w:r>
        <w:rPr>
          <w:sz w:val="4"/>
        </w:rPr>
      </w:r>
    </w:p>
    <w:p>
      <w:pPr>
        <w:pStyle w:val="Heading1"/>
        <w:ind w:firstLine="993"/>
        <w:jc w:val="left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В целях реализации прав граждан Российской Федерации на обеспечение гласности, достоверности, оперативности и полноты информации о выборах </w:t>
      </w:r>
      <w:r>
        <w:rPr>
          <w:rFonts w:eastAsia="Times New Roman"/>
          <w:b w:val="false"/>
          <w:bCs w:val="false"/>
          <w:color w:val="000000"/>
          <w:spacing w:val="3"/>
          <w:sz w:val="28"/>
          <w:szCs w:val="28"/>
          <w:lang w:eastAsia="ru-RU"/>
        </w:rPr>
        <w:t>депутатов Государственной Думы Федерального Собрания Российской Федерации девятого созыва по федеральному и одномандатному избирательным округам</w:t>
      </w:r>
      <w:r>
        <w:rPr>
          <w:sz w:val="28"/>
          <w:szCs w:val="28"/>
        </w:rPr>
        <w:t xml:space="preserve">, </w:t>
      </w:r>
      <w:r>
        <w:rPr>
          <w:kern w:val="2"/>
          <w:sz w:val="28"/>
          <w:szCs w:val="28"/>
        </w:rPr>
        <w:t xml:space="preserve">руководствуясь статьей 74 Федерального закона от 12 июня 2002 г. № 67-ФЗ «Об основных гарантиях избирательных прав и права на участие в референдуме граждан Российской Федерации», статьей 23 Федерального закона от 10 января 2003 г. № 20-ФЗ «О Государственной автоматизированной системе Российской Федерации «Выборы» </w:t>
      </w:r>
      <w:r>
        <w:rPr>
          <w:sz w:val="28"/>
          <w:szCs w:val="28"/>
        </w:rPr>
        <w:t xml:space="preserve">территориальная избирательная комиссия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Горячеключевская</w:t>
      </w:r>
      <w:r>
        <w:rPr>
          <w:sz w:val="28"/>
          <w:szCs w:val="28"/>
        </w:rPr>
        <w:t xml:space="preserve"> РЕШИЛА:</w:t>
      </w:r>
    </w:p>
    <w:p>
      <w:pPr>
        <w:pStyle w:val="Style19"/>
        <w:rPr>
          <w:rFonts w:ascii="Times New Roman" w:hAnsi="Times New Roman"/>
          <w:kern w:val="2"/>
        </w:rPr>
      </w:pPr>
      <w:r>
        <w:rPr>
          <w:rFonts w:ascii="Times New Roman" w:hAnsi="Times New Roman"/>
        </w:rPr>
        <w:t xml:space="preserve">1. Сформировать группу контроля за использованием КСА ГАС «Выборы» </w:t>
      </w:r>
      <w:r>
        <w:rPr>
          <w:rFonts w:ascii="Times New Roman" w:hAnsi="Times New Roman"/>
          <w:bCs/>
          <w:kern w:val="2"/>
        </w:rPr>
        <w:t xml:space="preserve">при подготовке и проведении выборов </w:t>
      </w:r>
      <w:r>
        <w:rPr>
          <w:rFonts w:eastAsia="Times New Roman" w:ascii="Times New Roman" w:hAnsi="Times New Roman"/>
          <w:b w:val="false"/>
          <w:bCs w:val="false"/>
          <w:color w:val="000000"/>
          <w:spacing w:val="3"/>
          <w:kern w:val="2"/>
          <w:szCs w:val="28"/>
          <w:lang w:eastAsia="ru-RU"/>
        </w:rPr>
        <w:t>депутатов Государственной Думы Федерального Собрания Российской Федерации девятого созыва по федеральному и одномандатному избирательным округам</w:t>
      </w:r>
      <w:r>
        <w:rPr>
          <w:rFonts w:ascii="Times New Roman" w:hAnsi="Times New Roman"/>
          <w:kern w:val="2"/>
        </w:rPr>
        <w:t xml:space="preserve">, назначив в ее состав следующих членов территориальной избирательной комиссии </w:t>
      </w:r>
      <w:r>
        <w:rPr>
          <w:rFonts w:eastAsia="Times New Roman" w:cs="Times New Roman" w:ascii="Times New Roman" w:hAnsi="Times New Roman"/>
          <w:color w:val="000000"/>
          <w:kern w:val="2"/>
          <w:sz w:val="28"/>
          <w:szCs w:val="28"/>
          <w:lang w:val="ru-RU" w:eastAsia="ru-RU" w:bidi="ar-SA"/>
        </w:rPr>
        <w:t>Горячеключевская</w:t>
      </w:r>
      <w:r>
        <w:rPr>
          <w:rFonts w:ascii="Times New Roman" w:hAnsi="Times New Roman"/>
          <w:kern w:val="2"/>
        </w:rPr>
        <w:t>:</w:t>
      </w:r>
    </w:p>
    <w:tbl>
      <w:tblPr>
        <w:tblW w:w="9464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943"/>
        <w:gridCol w:w="6520"/>
      </w:tblGrid>
      <w:tr>
        <w:trPr/>
        <w:tc>
          <w:tcPr>
            <w:tcW w:w="2943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Репещук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Максим Борисович</w:t>
            </w:r>
          </w:p>
        </w:tc>
        <w:tc>
          <w:tcPr>
            <w:tcW w:w="652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- председатель территориальной избирательной комиссии </w:t>
            </w:r>
            <w:r>
              <w:rPr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Горячеключевская</w:t>
            </w:r>
            <w:r>
              <w:rPr>
                <w:bCs/>
                <w:color w:val="000000"/>
                <w:sz w:val="28"/>
                <w:szCs w:val="28"/>
              </w:rPr>
              <w:t>, руководитель Рабочей группы;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Шаталова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Юлия Олеговна</w:t>
            </w:r>
          </w:p>
        </w:tc>
        <w:tc>
          <w:tcPr>
            <w:tcW w:w="652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- заместитель председателя территориальной избирательной комиссии </w:t>
            </w:r>
            <w:r>
              <w:rPr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Горячеключевская</w:t>
            </w:r>
            <w:r>
              <w:rPr>
                <w:bCs/>
                <w:color w:val="000000"/>
                <w:sz w:val="28"/>
                <w:szCs w:val="28"/>
              </w:rPr>
              <w:t>, заместитель руководителя Рабочей группы;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Белова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Екатерина Михайловна</w:t>
            </w:r>
          </w:p>
        </w:tc>
        <w:tc>
          <w:tcPr>
            <w:tcW w:w="652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- секретарь территориальной избирательной комиссии </w:t>
            </w:r>
            <w:r>
              <w:rPr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Горячеключевская</w:t>
            </w:r>
            <w:r>
              <w:rPr>
                <w:bCs/>
                <w:color w:val="000000"/>
                <w:sz w:val="28"/>
                <w:szCs w:val="28"/>
              </w:rPr>
              <w:t>, секретарь Рабочей группы;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Горнов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Виталий Сергеевич</w:t>
            </w:r>
          </w:p>
        </w:tc>
        <w:tc>
          <w:tcPr>
            <w:tcW w:w="652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- член территориальной избирательной комиссии </w:t>
            </w:r>
            <w:r>
              <w:rPr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Горячеключевская</w:t>
            </w:r>
            <w:r>
              <w:rPr>
                <w:bCs/>
                <w:color w:val="000000"/>
                <w:sz w:val="28"/>
                <w:szCs w:val="28"/>
              </w:rPr>
              <w:t xml:space="preserve"> с правом решающего голоса, член Рабочей группы;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  <w:bookmarkStart w:id="0" w:name="_GoBack"/>
            <w:bookmarkStart w:id="1" w:name="_GoBack"/>
            <w:bookmarkEnd w:id="1"/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Лищишин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Ярослав Степанович</w:t>
            </w:r>
          </w:p>
        </w:tc>
        <w:tc>
          <w:tcPr>
            <w:tcW w:w="652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- член территориальной избирательной комиссии </w:t>
            </w:r>
            <w:r>
              <w:rPr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Горячеключевская</w:t>
            </w:r>
            <w:r>
              <w:rPr>
                <w:bCs/>
                <w:color w:val="000000"/>
                <w:sz w:val="28"/>
                <w:szCs w:val="28"/>
              </w:rPr>
              <w:t xml:space="preserve"> с правом решающего голоса, член Рабочей группы.</w:t>
            </w:r>
          </w:p>
        </w:tc>
      </w:tr>
    </w:tbl>
    <w:p>
      <w:pPr>
        <w:pStyle w:val="Style19"/>
        <w:tabs>
          <w:tab w:val="clear" w:pos="708"/>
          <w:tab w:val="left" w:pos="8114" w:leader="none"/>
        </w:tabs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ab/>
      </w:r>
    </w:p>
    <w:p>
      <w:pPr>
        <w:pStyle w:val="NormalWeb"/>
        <w:shd w:val="clear" w:color="auto" w:fill="FFFFFF"/>
        <w:spacing w:lineRule="auto" w:line="36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Разместить настоящее решение</w:t>
      </w:r>
      <w:r>
        <w:rPr>
          <w:rFonts w:eastAsia="Times New Roman"/>
          <w:color w:val="000000"/>
          <w:spacing w:val="3"/>
          <w:sz w:val="28"/>
          <w:szCs w:val="28"/>
          <w:lang w:eastAsia="ru-RU"/>
        </w:rPr>
        <w:t xml:space="preserve"> на странице территориальной избирательной комиссии Горячеключевская официального сайта администрации муниципального образования муниципальный округ город Горячий Ключ Краснодарского края в информационно-телекоммуникационной сети «Интернет»</w:t>
      </w:r>
      <w:r>
        <w:rPr>
          <w:sz w:val="28"/>
          <w:szCs w:val="28"/>
        </w:rPr>
        <w:t>.</w:t>
      </w:r>
    </w:p>
    <w:p>
      <w:pPr>
        <w:pStyle w:val="NormalWeb"/>
        <w:shd w:val="clear" w:color="auto" w:fill="FFFFFF"/>
        <w:spacing w:lineRule="auto" w:line="36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пункта 2 настоящего решения возложить на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секретаря</w:t>
      </w:r>
      <w:r>
        <w:rPr>
          <w:sz w:val="28"/>
          <w:szCs w:val="28"/>
        </w:rPr>
        <w:t xml:space="preserve"> территориальной избирательной комиссии Горячеключевская Е.М. Белову.</w:t>
      </w:r>
    </w:p>
    <w:p>
      <w:pPr>
        <w:pStyle w:val="31"/>
        <w:spacing w:lineRule="auto" w:line="240"/>
        <w:ind w:firstLine="902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40"/>
        <w:ind w:firstLine="851"/>
        <w:rPr>
          <w:sz w:val="24"/>
        </w:rPr>
      </w:pPr>
      <w:r>
        <w:rPr>
          <w:sz w:val="24"/>
        </w:rPr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Председатель</w:t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территориальной избирательной</w:t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комиссии Горячеключевская                                                            М.Б. Репещук</w:t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Секретарь</w:t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территориальной избирательной</w:t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>
          <w:rFonts w:eastAsia="Times New Roman"/>
          <w:szCs w:val="28"/>
          <w:lang w:eastAsia="ru-RU"/>
        </w:rPr>
        <w:t>комиссии Горячеключевская                                                               Е.М. Белова</w:t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2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Times New Roman CYR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1590" cy="21590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" cy="21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65pt;height:1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57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d6df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3d6df5"/>
    <w:pPr>
      <w:keepNext w:val="true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d6df5"/>
    <w:pPr>
      <w:keepNext w:val="true"/>
      <w:ind w:firstLine="851"/>
      <w:outlineLvl w:val="1"/>
    </w:pPr>
    <w:rPr>
      <w:color w:val="auto"/>
      <w:sz w:val="24"/>
    </w:rPr>
  </w:style>
  <w:style w:type="paragraph" w:styleId="Heading5">
    <w:name w:val="Heading 5"/>
    <w:basedOn w:val="Normal"/>
    <w:next w:val="Normal"/>
    <w:qFormat/>
    <w:rsid w:val="003d6df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>
    <w:name w:val="Символ сноски"/>
    <w:qFormat/>
    <w:rPr>
      <w:rFonts w:ascii="Arial" w:hAnsi="Arial"/>
      <w:b/>
      <w:sz w:val="24"/>
      <w:szCs w:val="24"/>
      <w:vertAlign w:val="superscript"/>
    </w:rPr>
  </w:style>
  <w:style w:type="character" w:styleId="FootnoteReference">
    <w:name w:val="Footnote Reference"/>
    <w:rPr>
      <w:rFonts w:ascii="Arial" w:hAnsi="Arial"/>
      <w:b/>
      <w:sz w:val="24"/>
      <w:szCs w:val="24"/>
      <w:vertAlign w:val="superscript"/>
    </w:rPr>
  </w:style>
  <w:style w:type="character" w:styleId="FootnoteCharacters">
    <w:name w:val="Footnote Characters"/>
    <w:semiHidden/>
    <w:qFormat/>
    <w:rsid w:val="003d6df5"/>
    <w:rPr>
      <w:rFonts w:ascii="Arial" w:hAnsi="Arial"/>
      <w:b/>
      <w:sz w:val="24"/>
      <w:szCs w:val="24"/>
      <w:vertAlign w:val="superscript"/>
    </w:rPr>
  </w:style>
  <w:style w:type="character" w:styleId="annotationreference">
    <w:name w:val="annotation reference"/>
    <w:semiHidden/>
    <w:qFormat/>
    <w:rsid w:val="003d6df5"/>
    <w:rPr>
      <w:sz w:val="16"/>
      <w:szCs w:val="16"/>
    </w:rPr>
  </w:style>
  <w:style w:type="character" w:styleId="5" w:customStyle="1">
    <w:name w:val="Заголовок 5 Знак"/>
    <w:semiHidden/>
    <w:qFormat/>
    <w:rsid w:val="003d6df5"/>
    <w:rPr>
      <w:rFonts w:ascii="Calibri" w:hAnsi="Calibri" w:eastAsia="Times New Roman" w:cs="Times New Roman"/>
      <w:b/>
      <w:bCs/>
      <w:i/>
      <w:iCs/>
      <w:color w:val="000000"/>
      <w:sz w:val="26"/>
      <w:szCs w:val="26"/>
    </w:rPr>
  </w:style>
  <w:style w:type="character" w:styleId="PageNumber">
    <w:name w:val="Page Number"/>
    <w:basedOn w:val="DefaultParagraphFont"/>
    <w:semiHidden/>
    <w:qFormat/>
    <w:rsid w:val="003d6df5"/>
    <w:rPr/>
  </w:style>
  <w:style w:type="character" w:styleId="Style12" w:customStyle="1">
    <w:name w:val="Нижний колонтитул Знак"/>
    <w:uiPriority w:val="99"/>
    <w:qFormat/>
    <w:rsid w:val="00b01bca"/>
    <w:rPr>
      <w:color w:val="000000"/>
      <w:sz w:val="28"/>
      <w:szCs w:val="24"/>
    </w:rPr>
  </w:style>
  <w:style w:type="character" w:styleId="1" w:customStyle="1">
    <w:name w:val="Заголовок 1 Знак"/>
    <w:basedOn w:val="DefaultParagraphFont"/>
    <w:qFormat/>
    <w:rsid w:val="00c1605d"/>
    <w:rPr>
      <w:b/>
      <w:bCs/>
      <w:color w:val="000000"/>
      <w:sz w:val="28"/>
      <w:szCs w:val="24"/>
    </w:rPr>
  </w:style>
  <w:style w:type="character" w:styleId="HTML" w:customStyle="1">
    <w:name w:val="Стандартный HTML Знак"/>
    <w:basedOn w:val="DefaultParagraphFont"/>
    <w:uiPriority w:val="99"/>
    <w:qFormat/>
    <w:rsid w:val="001a7b65"/>
    <w:rPr>
      <w:rFonts w:ascii="Courier New" w:hAnsi="Courier New" w:cs="Courier New"/>
    </w:rPr>
  </w:style>
  <w:style w:type="paragraph" w:styleId="Style13" w:customStyle="1">
    <w:name w:val="Заголовок"/>
    <w:next w:val="BodyText"/>
    <w:qFormat/>
    <w:rsid w:val="00ae3b89"/>
    <w:pPr>
      <w:widowControl/>
      <w:suppressAutoHyphens w:val="true"/>
      <w:bidi w:val="0"/>
      <w:spacing w:before="0" w:after="0"/>
      <w:jc w:val="left"/>
    </w:pPr>
    <w:rPr>
      <w:rFonts w:ascii="Arial" w:hAnsi="Arial" w:eastAsia="Arial" w:cs="Times New Roman"/>
      <w:b/>
      <w:color w:val="auto"/>
      <w:kern w:val="0"/>
      <w:sz w:val="22"/>
      <w:szCs w:val="20"/>
      <w:lang w:val="ru-RU" w:eastAsia="ar-SA" w:bidi="ar-SA"/>
    </w:rPr>
  </w:style>
  <w:style w:type="paragraph" w:styleId="BodyText">
    <w:name w:val="Body Text"/>
    <w:basedOn w:val="Normal"/>
    <w:semiHidden/>
    <w:rsid w:val="003d6df5"/>
    <w:pPr>
      <w:jc w:val="center"/>
    </w:pPr>
    <w:rPr>
      <w:b/>
      <w:bCs/>
      <w:color w:val="auto"/>
      <w:szCs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BodyTextIndent">
    <w:name w:val="Body Text Indent"/>
    <w:basedOn w:val="Normal"/>
    <w:semiHidden/>
    <w:rsid w:val="003d6df5"/>
    <w:pPr>
      <w:ind w:firstLine="851"/>
    </w:pPr>
    <w:rPr>
      <w:color w:val="auto"/>
      <w:sz w:val="26"/>
    </w:rPr>
  </w:style>
  <w:style w:type="paragraph" w:styleId="FootnoteText">
    <w:name w:val="Footnote Text"/>
    <w:basedOn w:val="Normal"/>
    <w:semiHidden/>
    <w:rsid w:val="003d6df5"/>
    <w:pPr/>
    <w:rPr>
      <w:rFonts w:ascii="Arial" w:hAnsi="Arial"/>
      <w:color w:val="auto"/>
      <w:sz w:val="24"/>
      <w:szCs w:val="20"/>
    </w:rPr>
  </w:style>
  <w:style w:type="paragraph" w:styleId="AnnotationText">
    <w:name w:val="Annotation Text"/>
    <w:basedOn w:val="Normal"/>
    <w:semiHidden/>
    <w:qFormat/>
    <w:rsid w:val="003d6df5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3d6df5"/>
    <w:pPr/>
    <w:rPr>
      <w:b/>
      <w:bCs/>
    </w:rPr>
  </w:style>
  <w:style w:type="paragraph" w:styleId="BalloonText">
    <w:name w:val="Balloon Text"/>
    <w:basedOn w:val="Normal"/>
    <w:semiHidden/>
    <w:qFormat/>
    <w:rsid w:val="003d6df5"/>
    <w:pPr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semiHidden/>
    <w:qFormat/>
    <w:rsid w:val="003d6df5"/>
    <w:pPr>
      <w:ind w:firstLine="900"/>
      <w:jc w:val="both"/>
    </w:pPr>
    <w:rPr/>
  </w:style>
  <w:style w:type="paragraph" w:styleId="2" w:customStyle="1">
    <w:name w:val="Стиль2"/>
    <w:basedOn w:val="Normal"/>
    <w:qFormat/>
    <w:rsid w:val="003d6df5"/>
    <w:pPr>
      <w:jc w:val="center"/>
    </w:pPr>
    <w:rPr>
      <w:color w:val="auto"/>
      <w:szCs w:val="28"/>
    </w:rPr>
  </w:style>
  <w:style w:type="paragraph" w:styleId="Style15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semiHidden/>
    <w:rsid w:val="003d6df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rsid w:val="00b01bc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Normal" w:customStyle="1">
    <w:name w:val="ConsNormal"/>
    <w:qFormat/>
    <w:rsid w:val="00ae3b89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Arial" w:cs="Times New Roman"/>
      <w:color w:val="auto"/>
      <w:kern w:val="0"/>
      <w:sz w:val="20"/>
      <w:szCs w:val="20"/>
      <w:lang w:val="ru-RU" w:eastAsia="ar-SA" w:bidi="ar-SA"/>
    </w:rPr>
  </w:style>
  <w:style w:type="paragraph" w:styleId="formattexttopleveltext" w:customStyle="1">
    <w:name w:val="formattext topleveltext"/>
    <w:basedOn w:val="Normal"/>
    <w:qFormat/>
    <w:rsid w:val="00ae3b89"/>
    <w:pPr>
      <w:spacing w:beforeAutospacing="1" w:afterAutospacing="1"/>
    </w:pPr>
    <w:rPr>
      <w:color w:val="auto"/>
      <w:sz w:val="24"/>
    </w:rPr>
  </w:style>
  <w:style w:type="paragraph" w:styleId="HTMLPreformatted">
    <w:name w:val="HTML Preformatted"/>
    <w:basedOn w:val="Normal"/>
    <w:uiPriority w:val="99"/>
    <w:unhideWhenUsed/>
    <w:qFormat/>
    <w:rsid w:val="001a7b65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color w:val="auto"/>
      <w:sz w:val="20"/>
      <w:szCs w:val="20"/>
    </w:rPr>
  </w:style>
  <w:style w:type="paragraph" w:styleId="-1" w:customStyle="1">
    <w:name w:val="Т-1"/>
    <w:basedOn w:val="Normal"/>
    <w:qFormat/>
    <w:rsid w:val="00250412"/>
    <w:pPr>
      <w:spacing w:lineRule="auto" w:line="360"/>
      <w:ind w:firstLine="720"/>
      <w:jc w:val="both"/>
    </w:pPr>
    <w:rPr>
      <w:color w:val="auto"/>
      <w:szCs w:val="20"/>
    </w:rPr>
  </w:style>
  <w:style w:type="paragraph" w:styleId="Style16">
    <w:name w:val="Содержимое врезки"/>
    <w:basedOn w:val="Normal"/>
    <w:qFormat/>
    <w:pPr/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31">
    <w:name w:val="Заголовок №31"/>
    <w:basedOn w:val="Normal"/>
    <w:qFormat/>
    <w:pPr>
      <w:shd w:val="clear" w:color="auto" w:fill="FFFFFF"/>
      <w:spacing w:lineRule="atLeast" w:line="240"/>
      <w:outlineLvl w:val="2"/>
    </w:pPr>
    <w:rPr>
      <w:b/>
      <w:bCs/>
      <w:sz w:val="28"/>
      <w:szCs w:val="28"/>
    </w:rPr>
  </w:style>
  <w:style w:type="paragraph" w:styleId="NormalWeb">
    <w:name w:val="Normal (Web)"/>
    <w:basedOn w:val="Normal"/>
    <w:qFormat/>
    <w:pPr>
      <w:spacing w:before="120" w:after="216"/>
    </w:pPr>
    <w:rPr/>
  </w:style>
  <w:style w:type="paragraph" w:styleId="Subtitle">
    <w:name w:val="Subtitle"/>
    <w:basedOn w:val="Normal"/>
    <w:qFormat/>
    <w:pPr>
      <w:ind w:hanging="0" w:left="4320"/>
      <w:jc w:val="center"/>
    </w:pPr>
    <w:rPr>
      <w:sz w:val="28"/>
      <w:szCs w:val="20"/>
    </w:rPr>
  </w:style>
  <w:style w:type="paragraph" w:styleId="Style19">
    <w:name w:val="Документ ИКСО"/>
    <w:basedOn w:val="Normal"/>
    <w:qFormat/>
    <w:pPr>
      <w:spacing w:lineRule="auto" w:line="360"/>
      <w:ind w:firstLine="709"/>
      <w:jc w:val="both"/>
    </w:pPr>
    <w:rPr>
      <w:rFonts w:ascii="Times New Roman CYR" w:hAnsi="Times New Roman CYR"/>
      <w:sz w:val="28"/>
      <w:szCs w:val="28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Application>LibreOffice/24.2.7.2$Linux_X86_64 LibreOffice_project/420$Build-2</Application>
  <AppVersion>15.0000</AppVersion>
  <Pages>2</Pages>
  <Words>284</Words>
  <Characters>2259</Characters>
  <CharactersWithSpaces>2606</CharactersWithSpaces>
  <Paragraphs>32</Paragraphs>
  <Company>TIK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2023-03-16T07:21:00Z</dcterms:created>
  <dc:creator>Tanya</dc:creator>
  <dc:description/>
  <dc:language>ru-RU</dc:language>
  <cp:lastModifiedBy/>
  <cp:lastPrinted>2025-06-23T10:40:10Z</cp:lastPrinted>
  <dcterms:modified xsi:type="dcterms:W3CDTF">2026-09-06T14:15:19Z</dcterms:modified>
  <cp:revision>44</cp:revision>
  <dc:subject/>
  <dc:title>Территориальная избирательная комиссия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